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ind w:left="1559" w:right="1497"/>
        <w:jc w:val="center"/>
        <w:rPr>
          <w:rFonts w:ascii="Verdana" w:hAnsi="Verdana"/>
          <w:sz w:val="20"/>
          <w:lang w:val="en-GB"/>
        </w:rPr>
      </w:pPr>
      <w:bookmarkStart w:id="0" w:name="_GoBack"/>
      <w:bookmarkEnd w:id="0"/>
      <w:r w:rsidRPr="00AA09AA">
        <w:rPr>
          <w:noProof/>
          <w:lang w:val="en-US" w:eastAsia="en-US"/>
        </w:rPr>
        <w:drawing>
          <wp:anchor distT="0" distB="0" distL="114300" distR="114300" simplePos="0" relativeHeight="251673600" behindDoc="0" locked="0" layoutInCell="1" allowOverlap="1">
            <wp:simplePos x="0" y="0"/>
            <wp:positionH relativeFrom="column">
              <wp:posOffset>-391795</wp:posOffset>
            </wp:positionH>
            <wp:positionV relativeFrom="paragraph">
              <wp:posOffset>-339725</wp:posOffset>
            </wp:positionV>
            <wp:extent cx="2028825" cy="1285875"/>
            <wp:effectExtent l="0" t="0" r="0" b="0"/>
            <wp:wrapNone/>
            <wp:docPr id="5" name="Picture 5" descr="Description: http://www.europarl.ep.ec/inside/logistic/publish/logos_headers/S_20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europarl.ep.ec/inside/logistic/publish/logos_headers/S_200_en.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285875"/>
                    </a:xfrm>
                    <a:prstGeom prst="rect">
                      <a:avLst/>
                    </a:prstGeom>
                    <a:noFill/>
                    <a:ln>
                      <a:noFill/>
                    </a:ln>
                  </pic:spPr>
                </pic:pic>
              </a:graphicData>
            </a:graphic>
          </wp:anchor>
        </w:drawing>
      </w: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ind w:left="1559" w:right="1497"/>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ind w:left="1559" w:right="1497"/>
        <w:jc w:val="center"/>
        <w:rPr>
          <w:rFonts w:ascii="Verdana" w:hAnsi="Verdana"/>
          <w:sz w:val="20"/>
          <w:lang w:val="en-GB"/>
        </w:rPr>
      </w:pPr>
    </w:p>
    <w:p w:rsidR="000E292F" w:rsidRPr="00AA09AA" w:rsidRDefault="000E292F" w:rsidP="000E292F">
      <w:pPr>
        <w:suppressAutoHyphens/>
        <w:spacing w:after="120" w:line="22" w:lineRule="atLeast"/>
        <w:jc w:val="center"/>
        <w:rPr>
          <w:rFonts w:ascii="Verdana" w:hAnsi="Verdana"/>
          <w:b/>
          <w:caps/>
          <w:color w:val="808080"/>
          <w:sz w:val="26"/>
          <w:szCs w:val="22"/>
          <w:lang w:val="en-GB"/>
        </w:rPr>
      </w:pPr>
      <w:r w:rsidRPr="00AA09AA">
        <w:rPr>
          <w:rFonts w:ascii="Verdana" w:hAnsi="Verdana"/>
          <w:b/>
          <w:caps/>
          <w:color w:val="808080"/>
          <w:sz w:val="26"/>
          <w:szCs w:val="22"/>
          <w:lang w:val="en-GB"/>
        </w:rPr>
        <w:t>Directorate General FOR Internal Policies</w:t>
      </w:r>
    </w:p>
    <w:p w:rsidR="000E292F" w:rsidRPr="00AA09AA" w:rsidRDefault="000E292F" w:rsidP="000E292F">
      <w:pPr>
        <w:suppressAutoHyphens/>
        <w:spacing w:after="120" w:line="22" w:lineRule="atLeast"/>
        <w:jc w:val="center"/>
        <w:rPr>
          <w:rFonts w:ascii="Verdana" w:hAnsi="Verdana"/>
          <w:b/>
          <w:caps/>
          <w:color w:val="000080"/>
          <w:sz w:val="25"/>
          <w:szCs w:val="30"/>
          <w:lang w:val="en-GB"/>
        </w:rPr>
      </w:pPr>
      <w:r w:rsidRPr="00AA09AA">
        <w:rPr>
          <w:rFonts w:ascii="Verdana" w:hAnsi="Verdana"/>
          <w:b/>
          <w:caps/>
          <w:color w:val="000080"/>
          <w:sz w:val="25"/>
          <w:szCs w:val="30"/>
          <w:lang w:val="en-GB"/>
        </w:rPr>
        <w:t>Policy Department a: ECONOMIC AND SCIENTIFIC PolicY</w:t>
      </w: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jc w:val="center"/>
        <w:rPr>
          <w:rFonts w:ascii="Verdana" w:hAnsi="Verdana"/>
          <w:color w:val="000080"/>
          <w:sz w:val="28"/>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jc w:val="center"/>
        <w:rPr>
          <w:rFonts w:ascii="Verdana" w:hAnsi="Verdana"/>
          <w:color w:val="000080"/>
          <w:sz w:val="28"/>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jc w:val="center"/>
        <w:rPr>
          <w:rFonts w:ascii="Verdana" w:hAnsi="Verdana"/>
          <w:sz w:val="28"/>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jc w:val="center"/>
        <w:rPr>
          <w:rFonts w:ascii="Verdana" w:hAnsi="Verdana"/>
          <w:sz w:val="28"/>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jc w:val="center"/>
        <w:rPr>
          <w:rFonts w:ascii="Verdana" w:hAnsi="Verdana"/>
          <w:sz w:val="28"/>
          <w:lang w:val="en-GB"/>
        </w:rPr>
      </w:pPr>
    </w:p>
    <w:p w:rsidR="000C25B2" w:rsidRPr="00AA09AA" w:rsidRDefault="000C25B2" w:rsidP="000C25B2">
      <w:pPr>
        <w:jc w:val="center"/>
        <w:rPr>
          <w:rFonts w:ascii="Verdana" w:hAnsi="Verdana"/>
          <w:b/>
          <w:color w:val="000080"/>
          <w:sz w:val="44"/>
          <w:szCs w:val="44"/>
          <w:lang w:val="en-GB"/>
        </w:rPr>
      </w:pPr>
      <w:r w:rsidRPr="00AA09AA">
        <w:rPr>
          <w:rFonts w:ascii="Verdana" w:hAnsi="Verdana"/>
          <w:b/>
          <w:color w:val="000080"/>
          <w:sz w:val="44"/>
          <w:szCs w:val="44"/>
          <w:lang w:val="en-GB"/>
        </w:rPr>
        <w:t>Recent ECB Actions</w:t>
      </w: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sz w:val="44"/>
          <w:szCs w:val="44"/>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sz w:val="44"/>
          <w:szCs w:val="44"/>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sz w:val="44"/>
          <w:szCs w:val="44"/>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b/>
          <w:color w:val="808080"/>
          <w:sz w:val="22"/>
          <w:szCs w:val="22"/>
          <w:lang w:val="en-GB"/>
        </w:rPr>
      </w:pPr>
      <w:r w:rsidRPr="00AA09AA">
        <w:rPr>
          <w:rFonts w:ascii="Verdana" w:hAnsi="Verdana"/>
          <w:b/>
          <w:color w:val="808080"/>
          <w:sz w:val="22"/>
          <w:szCs w:val="22"/>
          <w:lang w:val="en-GB"/>
        </w:rPr>
        <w:t>IN-DEPTH ANALYSIS</w:t>
      </w: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jc w:val="center"/>
        <w:rPr>
          <w:rFonts w:ascii="Verdana" w:hAnsi="Verdana"/>
          <w:sz w:val="20"/>
          <w:lang w:val="en-GB"/>
        </w:rPr>
      </w:pPr>
    </w:p>
    <w:tbl>
      <w:tblPr>
        <w:tblW w:w="0" w:type="auto"/>
        <w:tblInd w:w="392" w:type="dxa"/>
        <w:tblBorders>
          <w:top w:val="single" w:sz="4" w:space="0" w:color="C0C0C0"/>
          <w:left w:val="single" w:sz="4" w:space="0" w:color="C0C0C0"/>
          <w:bottom w:val="single" w:sz="4" w:space="0" w:color="C0C0C0"/>
          <w:right w:val="single" w:sz="4" w:space="0" w:color="C0C0C0"/>
        </w:tblBorders>
        <w:tblLayout w:type="fixed"/>
        <w:tblLook w:val="0000"/>
      </w:tblPr>
      <w:tblGrid>
        <w:gridCol w:w="8788"/>
      </w:tblGrid>
      <w:tr w:rsidR="00707D3E" w:rsidRPr="00CB6C4D">
        <w:trPr>
          <w:trHeight w:val="2705"/>
        </w:trPr>
        <w:tc>
          <w:tcPr>
            <w:tcW w:w="8788" w:type="dxa"/>
            <w:tcBorders>
              <w:top w:val="single" w:sz="4" w:space="0" w:color="C0C0C0"/>
              <w:bottom w:val="single" w:sz="4" w:space="0" w:color="C0C0C0"/>
            </w:tcBorders>
            <w:tcMar>
              <w:top w:w="170" w:type="dxa"/>
              <w:left w:w="170" w:type="dxa"/>
              <w:bottom w:w="170" w:type="dxa"/>
              <w:right w:w="284" w:type="dxa"/>
            </w:tcMar>
          </w:tcPr>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after="120" w:line="264" w:lineRule="auto"/>
              <w:ind w:left="34"/>
              <w:rPr>
                <w:rFonts w:ascii="Verdana" w:hAnsi="Verdana"/>
                <w:b/>
                <w:color w:val="000080"/>
                <w:szCs w:val="22"/>
                <w:lang w:val="en-GB"/>
              </w:rPr>
            </w:pPr>
            <w:r w:rsidRPr="00AA09AA">
              <w:rPr>
                <w:rFonts w:ascii="Verdana" w:hAnsi="Verdana"/>
                <w:b/>
                <w:color w:val="000080"/>
                <w:sz w:val="22"/>
                <w:szCs w:val="22"/>
                <w:lang w:val="en-GB"/>
              </w:rPr>
              <w:t>Abstract</w:t>
            </w:r>
          </w:p>
          <w:p w:rsidR="00707D3E" w:rsidRPr="00AA09AA" w:rsidRDefault="00BD7415" w:rsidP="00E30F8E">
            <w:pPr>
              <w:spacing w:after="120" w:line="264" w:lineRule="auto"/>
              <w:rPr>
                <w:rFonts w:ascii="Verdana" w:hAnsi="Verdana"/>
                <w:color w:val="000080"/>
                <w:sz w:val="20"/>
                <w:lang w:val="en-GB"/>
              </w:rPr>
            </w:pPr>
            <w:r w:rsidRPr="00AA09AA">
              <w:rPr>
                <w:rFonts w:ascii="Verdana" w:hAnsi="Verdana"/>
                <w:color w:val="000080"/>
                <w:sz w:val="20"/>
                <w:lang w:val="en-GB"/>
              </w:rPr>
              <w:t>With the inflation rate edging down away from the comfort zone, the ECB has announced new measures. The reduction of the policy interest rates is mostly symbolic. More substant</w:t>
            </w:r>
            <w:r w:rsidR="007776E3" w:rsidRPr="00AA09AA">
              <w:rPr>
                <w:rFonts w:ascii="Verdana" w:hAnsi="Verdana"/>
                <w:color w:val="000080"/>
                <w:sz w:val="20"/>
                <w:lang w:val="en-GB"/>
              </w:rPr>
              <w:t>ial are the decisions to inject</w:t>
            </w:r>
            <w:r w:rsidRPr="00AA09AA">
              <w:rPr>
                <w:rFonts w:ascii="Verdana" w:hAnsi="Verdana"/>
                <w:color w:val="000080"/>
                <w:sz w:val="20"/>
                <w:lang w:val="en-GB"/>
              </w:rPr>
              <w:t xml:space="preserve"> liquidity into the banking system. </w:t>
            </w:r>
            <w:r w:rsidR="00F6117A" w:rsidRPr="00AA09AA">
              <w:rPr>
                <w:rFonts w:ascii="Verdana" w:hAnsi="Verdana"/>
                <w:color w:val="000080"/>
                <w:sz w:val="20"/>
                <w:lang w:val="en-GB"/>
              </w:rPr>
              <w:t>These measure</w:t>
            </w:r>
            <w:r w:rsidR="000A706C">
              <w:rPr>
                <w:rFonts w:ascii="Verdana" w:hAnsi="Verdana"/>
                <w:color w:val="000080"/>
                <w:sz w:val="20"/>
                <w:lang w:val="en-GB"/>
              </w:rPr>
              <w:t>s</w:t>
            </w:r>
            <w:r w:rsidR="00F6117A" w:rsidRPr="00AA09AA">
              <w:rPr>
                <w:rFonts w:ascii="Verdana" w:hAnsi="Verdana"/>
                <w:color w:val="000080"/>
                <w:sz w:val="20"/>
                <w:lang w:val="en-GB"/>
              </w:rPr>
              <w:t xml:space="preserve"> are designed to bring to an end and reverse the downward </w:t>
            </w:r>
            <w:r w:rsidR="007776E3" w:rsidRPr="00AA09AA">
              <w:rPr>
                <w:rFonts w:ascii="Verdana" w:hAnsi="Verdana"/>
                <w:color w:val="000080"/>
                <w:sz w:val="20"/>
                <w:lang w:val="en-GB"/>
              </w:rPr>
              <w:t>trend of bank loans, as well as to reduce financial fragmentation in the Eurozone.</w:t>
            </w:r>
            <w:r w:rsidR="00F6117A" w:rsidRPr="00AA09AA">
              <w:rPr>
                <w:rFonts w:ascii="Verdana" w:hAnsi="Verdana"/>
                <w:color w:val="000080"/>
                <w:sz w:val="20"/>
                <w:lang w:val="en-GB"/>
              </w:rPr>
              <w:t xml:space="preserve"> However the ECB’s brand of quantitative easing is less decisive than those adopted in other major central banks because the initiative is now in camp of banks and financial institutions. They may, or not, oblige. Another concern is that these measures assume that bank lending is hampered by a lack of liquidity, which may not be case. </w:t>
            </w:r>
          </w:p>
        </w:tc>
      </w:tr>
    </w:tbl>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line="264" w:lineRule="auto"/>
        <w:jc w:val="center"/>
        <w:rPr>
          <w:rFonts w:ascii="Verdana" w:hAnsi="Verdana"/>
          <w:sz w:val="20"/>
          <w:lang w:val="en-GB"/>
        </w:rPr>
      </w:pPr>
      <w:bookmarkStart w:id="1" w:name="_Toc220300858"/>
      <w:bookmarkStart w:id="2" w:name="_Toc220301431"/>
      <w:bookmarkStart w:id="3" w:name="_Toc220301555"/>
      <w:bookmarkStart w:id="4" w:name="_Toc222555082"/>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line="264" w:lineRule="auto"/>
        <w:jc w:val="center"/>
        <w:rPr>
          <w:rFonts w:ascii="Verdana" w:hAnsi="Verdana"/>
          <w:sz w:val="20"/>
          <w:lang w:val="en-GB"/>
        </w:rPr>
      </w:pP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pos="9356"/>
        </w:tabs>
        <w:suppressAutoHyphens/>
        <w:spacing w:after="120" w:line="264" w:lineRule="auto"/>
        <w:ind w:right="-62"/>
        <w:rPr>
          <w:rFonts w:ascii="Verdana" w:hAnsi="Verdana"/>
          <w:b/>
          <w:color w:val="808080"/>
          <w:sz w:val="22"/>
          <w:szCs w:val="22"/>
          <w:lang w:val="en-GB"/>
        </w:rPr>
      </w:pPr>
      <w:r w:rsidRPr="00AA09AA">
        <w:rPr>
          <w:rFonts w:ascii="Verdana" w:hAnsi="Verdana"/>
          <w:b/>
          <w:color w:val="808080"/>
          <w:sz w:val="22"/>
          <w:szCs w:val="22"/>
          <w:lang w:val="en-GB"/>
        </w:rPr>
        <w:t>IP/A/ECON/2014-03</w:t>
      </w:r>
      <w:r w:rsidRPr="00AA09AA">
        <w:rPr>
          <w:rFonts w:ascii="Verdana" w:hAnsi="Verdana"/>
          <w:b/>
          <w:color w:val="808080"/>
          <w:sz w:val="22"/>
          <w:szCs w:val="22"/>
          <w:lang w:val="en-GB"/>
        </w:rPr>
        <w:tab/>
        <w:t>September 2014</w:t>
      </w:r>
    </w:p>
    <w:p w:rsidR="000E292F" w:rsidRPr="00AA09AA" w:rsidRDefault="000E292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pos="9356"/>
        </w:tabs>
        <w:suppressAutoHyphens/>
        <w:spacing w:after="120" w:line="264" w:lineRule="auto"/>
        <w:ind w:right="-62"/>
        <w:rPr>
          <w:rFonts w:ascii="Verdana" w:hAnsi="Verdana"/>
          <w:b/>
          <w:color w:val="808080"/>
          <w:sz w:val="22"/>
          <w:szCs w:val="22"/>
          <w:lang w:val="en-GB"/>
        </w:rPr>
      </w:pPr>
      <w:r w:rsidRPr="00AA09AA">
        <w:rPr>
          <w:rFonts w:ascii="Verdana" w:hAnsi="Verdana"/>
          <w:b/>
          <w:color w:val="808080"/>
          <w:sz w:val="22"/>
          <w:szCs w:val="22"/>
          <w:lang w:val="en-GB"/>
        </w:rPr>
        <w:t>Part of the compilation PE 536.284 for the Monetary Dialogue</w:t>
      </w:r>
      <w:r w:rsidRPr="00AA09AA">
        <w:rPr>
          <w:rFonts w:ascii="Verdana" w:hAnsi="Verdana"/>
          <w:b/>
          <w:color w:val="808080"/>
          <w:sz w:val="22"/>
          <w:szCs w:val="22"/>
          <w:lang w:val="en-GB"/>
        </w:rPr>
        <w:tab/>
        <w:t>EN</w:t>
      </w:r>
      <w:r w:rsidRPr="00AA09AA">
        <w:rPr>
          <w:rFonts w:ascii="Verdana" w:hAnsi="Verdana"/>
          <w:b/>
          <w:color w:val="808080"/>
          <w:sz w:val="22"/>
          <w:szCs w:val="22"/>
          <w:lang w:val="en-GB"/>
        </w:rPr>
        <w:br w:type="page"/>
      </w:r>
    </w:p>
    <w:p w:rsidR="000E292F" w:rsidRPr="00AA09AA" w:rsidRDefault="000E292F" w:rsidP="000E292F">
      <w:pPr>
        <w:spacing w:line="264" w:lineRule="auto"/>
        <w:rPr>
          <w:rFonts w:ascii="Verdana" w:hAnsi="Verdana"/>
          <w:color w:val="808080"/>
          <w:sz w:val="20"/>
          <w:lang w:val="en-GB"/>
        </w:rPr>
      </w:pPr>
      <w:r w:rsidRPr="00AA09AA">
        <w:rPr>
          <w:rFonts w:ascii="Verdana" w:hAnsi="Verdana"/>
          <w:color w:val="808080"/>
          <w:sz w:val="20"/>
          <w:lang w:val="en-GB"/>
        </w:rPr>
        <w:t>This document was requested by the European Parliament's Committee on Economic and Monetary Affairs.</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b/>
          <w:color w:val="000080"/>
          <w:sz w:val="20"/>
          <w:lang w:val="en-GB"/>
        </w:rPr>
      </w:pPr>
      <w:r w:rsidRPr="00AA09AA">
        <w:rPr>
          <w:rFonts w:ascii="Verdana" w:hAnsi="Verdana"/>
          <w:b/>
          <w:color w:val="000080"/>
          <w:sz w:val="20"/>
          <w:lang w:val="en-GB"/>
        </w:rPr>
        <w:t>AUTHOR</w:t>
      </w:r>
    </w:p>
    <w:p w:rsidR="000E292F" w:rsidRPr="00AA09AA" w:rsidRDefault="000E292F" w:rsidP="000E292F">
      <w:pPr>
        <w:spacing w:line="264" w:lineRule="auto"/>
        <w:rPr>
          <w:rFonts w:ascii="Verdana" w:hAnsi="Verdana"/>
          <w:color w:val="808080"/>
          <w:sz w:val="20"/>
          <w:lang w:val="en-GB"/>
        </w:rPr>
      </w:pPr>
    </w:p>
    <w:p w:rsidR="00707D3E" w:rsidRPr="00AA09AA" w:rsidRDefault="00707D3E" w:rsidP="00051FA6">
      <w:pPr>
        <w:tabs>
          <w:tab w:val="left" w:pos="-1440"/>
        </w:tabs>
        <w:spacing w:line="264" w:lineRule="auto"/>
        <w:rPr>
          <w:rFonts w:ascii="Verdana" w:hAnsi="Verdana"/>
          <w:color w:val="808080"/>
          <w:sz w:val="20"/>
          <w:lang w:val="en-GB"/>
        </w:rPr>
      </w:pPr>
      <w:r w:rsidRPr="00AA09AA">
        <w:rPr>
          <w:rFonts w:ascii="Verdana" w:hAnsi="Verdana"/>
          <w:color w:val="808080"/>
          <w:sz w:val="20"/>
          <w:lang w:val="en-GB"/>
        </w:rPr>
        <w:t>Charles WYPLOSZ, Graduate Institute of International and Development Studies, Geneva</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b/>
          <w:color w:val="000080"/>
          <w:sz w:val="20"/>
          <w:lang w:val="en-GB"/>
        </w:rPr>
      </w:pPr>
      <w:r w:rsidRPr="00AA09AA">
        <w:rPr>
          <w:rFonts w:ascii="Verdana" w:hAnsi="Verdana"/>
          <w:b/>
          <w:color w:val="000080"/>
          <w:sz w:val="20"/>
          <w:lang w:val="en-GB"/>
        </w:rPr>
        <w:t>RESPONSIBLE ADMINISTRATOR</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r w:rsidRPr="00AA09AA">
        <w:rPr>
          <w:rFonts w:ascii="Verdana" w:hAnsi="Verdana"/>
          <w:color w:val="808080"/>
          <w:sz w:val="20"/>
          <w:lang w:val="en-GB"/>
        </w:rPr>
        <w:t>Dario PATERNOSTER</w:t>
      </w:r>
    </w:p>
    <w:p w:rsidR="000E292F" w:rsidRPr="00AA09AA" w:rsidRDefault="000E292F" w:rsidP="000E292F">
      <w:pPr>
        <w:tabs>
          <w:tab w:val="left" w:pos="-1440"/>
        </w:tabs>
        <w:spacing w:line="264" w:lineRule="auto"/>
        <w:jc w:val="left"/>
        <w:rPr>
          <w:rFonts w:ascii="Verdana" w:hAnsi="Verdana"/>
          <w:color w:val="808080"/>
          <w:sz w:val="20"/>
          <w:lang w:val="en-GB"/>
        </w:rPr>
      </w:pPr>
      <w:r w:rsidRPr="00AA09AA">
        <w:rPr>
          <w:rFonts w:ascii="Verdana" w:hAnsi="Verdana"/>
          <w:color w:val="808080"/>
          <w:sz w:val="20"/>
          <w:lang w:val="en-GB"/>
        </w:rPr>
        <w:t>Policy Department A: Economic and Scientific Policy</w:t>
      </w:r>
    </w:p>
    <w:p w:rsidR="000E292F" w:rsidRPr="00E30F8E" w:rsidRDefault="000E292F" w:rsidP="000E292F">
      <w:pPr>
        <w:tabs>
          <w:tab w:val="left" w:pos="-1440"/>
        </w:tabs>
        <w:spacing w:line="264" w:lineRule="auto"/>
        <w:jc w:val="left"/>
        <w:rPr>
          <w:rFonts w:ascii="Verdana" w:hAnsi="Verdana"/>
          <w:color w:val="808080"/>
          <w:sz w:val="20"/>
        </w:rPr>
      </w:pPr>
      <w:r w:rsidRPr="00E30F8E">
        <w:rPr>
          <w:rFonts w:ascii="Verdana" w:hAnsi="Verdana"/>
          <w:color w:val="808080"/>
          <w:sz w:val="20"/>
        </w:rPr>
        <w:t>European Parliament</w:t>
      </w:r>
    </w:p>
    <w:p w:rsidR="000E292F" w:rsidRPr="00E30F8E" w:rsidRDefault="000E292F" w:rsidP="000E292F">
      <w:pPr>
        <w:tabs>
          <w:tab w:val="left" w:pos="-1440"/>
        </w:tabs>
        <w:spacing w:line="264" w:lineRule="auto"/>
        <w:jc w:val="left"/>
        <w:rPr>
          <w:rFonts w:ascii="Verdana" w:hAnsi="Verdana"/>
          <w:color w:val="808080"/>
          <w:sz w:val="20"/>
        </w:rPr>
      </w:pPr>
      <w:r w:rsidRPr="00E30F8E">
        <w:rPr>
          <w:rFonts w:ascii="Verdana" w:hAnsi="Verdana"/>
          <w:color w:val="808080"/>
          <w:sz w:val="20"/>
        </w:rPr>
        <w:t>B-1047 Brussels</w:t>
      </w:r>
    </w:p>
    <w:p w:rsidR="000E292F" w:rsidRPr="00E30F8E" w:rsidRDefault="000E292F" w:rsidP="000E292F">
      <w:pPr>
        <w:tabs>
          <w:tab w:val="left" w:pos="-1440"/>
        </w:tabs>
        <w:spacing w:line="264" w:lineRule="auto"/>
        <w:rPr>
          <w:rFonts w:ascii="Verdana" w:hAnsi="Verdana" w:cs="Verdana"/>
          <w:color w:val="808080"/>
          <w:sz w:val="20"/>
          <w:lang w:eastAsia="en-US"/>
        </w:rPr>
      </w:pPr>
      <w:r w:rsidRPr="00E30F8E">
        <w:rPr>
          <w:rFonts w:ascii="Verdana" w:hAnsi="Verdana"/>
          <w:color w:val="808080"/>
          <w:sz w:val="20"/>
        </w:rPr>
        <w:t xml:space="preserve">E-mail: </w:t>
      </w:r>
      <w:hyperlink r:id="rId9" w:history="1">
        <w:r w:rsidRPr="00E30F8E">
          <w:rPr>
            <w:rFonts w:ascii="Verdana" w:hAnsi="Verdana" w:cs="Verdana"/>
            <w:color w:val="0000FF"/>
            <w:sz w:val="20"/>
            <w:u w:val="single"/>
            <w:lang w:eastAsia="en-US"/>
          </w:rPr>
          <w:t>Poldep-Economy-Science@europarl.europa.eu</w:t>
        </w:r>
      </w:hyperlink>
    </w:p>
    <w:p w:rsidR="000E292F" w:rsidRPr="00E30F8E" w:rsidRDefault="000E292F" w:rsidP="000E292F">
      <w:pPr>
        <w:spacing w:line="264" w:lineRule="auto"/>
        <w:rPr>
          <w:rFonts w:ascii="Verdana" w:hAnsi="Verdana"/>
          <w:color w:val="808080"/>
          <w:sz w:val="20"/>
        </w:rPr>
      </w:pPr>
    </w:p>
    <w:p w:rsidR="000E292F" w:rsidRPr="00E30F8E" w:rsidRDefault="000E292F" w:rsidP="000E292F">
      <w:pPr>
        <w:spacing w:line="264" w:lineRule="auto"/>
        <w:rPr>
          <w:rFonts w:ascii="Verdana" w:hAnsi="Verdana"/>
          <w:color w:val="808080"/>
          <w:sz w:val="20"/>
        </w:rPr>
      </w:pPr>
    </w:p>
    <w:p w:rsidR="000E292F" w:rsidRPr="00E30F8E" w:rsidRDefault="000E292F" w:rsidP="000E292F">
      <w:pPr>
        <w:spacing w:line="264" w:lineRule="auto"/>
        <w:rPr>
          <w:rFonts w:ascii="Verdana" w:hAnsi="Verdana"/>
          <w:b/>
          <w:color w:val="000080"/>
          <w:sz w:val="20"/>
        </w:rPr>
      </w:pPr>
      <w:r w:rsidRPr="00E30F8E">
        <w:rPr>
          <w:rFonts w:ascii="Verdana" w:hAnsi="Verdana"/>
          <w:b/>
          <w:color w:val="000080"/>
          <w:sz w:val="20"/>
        </w:rPr>
        <w:t>LINGUISTIC VERSIONS</w:t>
      </w:r>
    </w:p>
    <w:p w:rsidR="000E292F" w:rsidRPr="00E30F8E" w:rsidRDefault="000E292F" w:rsidP="000E292F">
      <w:pPr>
        <w:spacing w:line="264" w:lineRule="auto"/>
        <w:rPr>
          <w:rFonts w:ascii="Verdana" w:hAnsi="Verdana"/>
          <w:b/>
          <w:color w:val="000080"/>
          <w:sz w:val="20"/>
        </w:rPr>
      </w:pPr>
    </w:p>
    <w:p w:rsidR="000E292F" w:rsidRPr="00E30F8E" w:rsidRDefault="000E292F" w:rsidP="000E292F">
      <w:pPr>
        <w:spacing w:line="264" w:lineRule="auto"/>
        <w:rPr>
          <w:rFonts w:ascii="Verdana" w:hAnsi="Verdana"/>
          <w:color w:val="808080"/>
          <w:sz w:val="20"/>
        </w:rPr>
      </w:pPr>
      <w:r w:rsidRPr="00E30F8E">
        <w:rPr>
          <w:rFonts w:ascii="Verdana" w:hAnsi="Verdana"/>
          <w:color w:val="808080"/>
          <w:sz w:val="20"/>
        </w:rPr>
        <w:t>Original: EN</w:t>
      </w:r>
    </w:p>
    <w:p w:rsidR="000E292F" w:rsidRPr="00E30F8E" w:rsidRDefault="000E292F" w:rsidP="000E292F">
      <w:pPr>
        <w:spacing w:line="264" w:lineRule="auto"/>
        <w:rPr>
          <w:rFonts w:ascii="Verdana" w:hAnsi="Verdana"/>
          <w:color w:val="808080"/>
          <w:sz w:val="20"/>
        </w:rPr>
      </w:pPr>
    </w:p>
    <w:p w:rsidR="000E292F" w:rsidRPr="00E30F8E" w:rsidRDefault="000E292F" w:rsidP="000E292F">
      <w:pPr>
        <w:spacing w:line="264" w:lineRule="auto"/>
        <w:rPr>
          <w:rFonts w:ascii="Verdana" w:hAnsi="Verdana"/>
          <w:color w:val="808080"/>
          <w:sz w:val="20"/>
        </w:rPr>
      </w:pPr>
    </w:p>
    <w:p w:rsidR="000E292F" w:rsidRPr="00AA09AA" w:rsidRDefault="000E292F" w:rsidP="000E292F">
      <w:pPr>
        <w:spacing w:line="264" w:lineRule="auto"/>
        <w:rPr>
          <w:rFonts w:ascii="Verdana" w:hAnsi="Verdana"/>
          <w:b/>
          <w:color w:val="000080"/>
          <w:sz w:val="20"/>
          <w:lang w:val="en-GB"/>
        </w:rPr>
      </w:pPr>
      <w:r w:rsidRPr="00AA09AA">
        <w:rPr>
          <w:rFonts w:ascii="Verdana" w:hAnsi="Verdana"/>
          <w:b/>
          <w:color w:val="000080"/>
          <w:sz w:val="20"/>
          <w:lang w:val="en-GB"/>
        </w:rPr>
        <w:t>ABOUT THE EDITOR</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rPr>
          <w:rFonts w:ascii="Verdana" w:hAnsi="Verdana"/>
          <w:color w:val="808080"/>
          <w:sz w:val="20"/>
          <w:lang w:val="en-GB"/>
        </w:rPr>
      </w:pPr>
      <w:r w:rsidRPr="00AA09AA">
        <w:rPr>
          <w:rFonts w:ascii="Verdana" w:hAnsi="Verdana"/>
          <w:color w:val="808080"/>
          <w:sz w:val="20"/>
          <w:lang w:val="en-GB"/>
        </w:rPr>
        <w:t>Policy departments provide in-house and external expertise to support EP committees and other parliamentary bodies in shaping legislation and exercising democratic scrutiny over EU internal policies.</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000080"/>
          <w:sz w:val="20"/>
          <w:lang w:val="en-GB"/>
        </w:rPr>
      </w:pPr>
      <w:r w:rsidRPr="00AA09AA">
        <w:rPr>
          <w:rFonts w:ascii="Verdana" w:hAnsi="Verdana"/>
          <w:color w:val="808080"/>
          <w:sz w:val="20"/>
          <w:lang w:val="en-GB"/>
        </w:rPr>
        <w:t>To contact the Policy Department or to subscribe to its monthly newsletter please write to:</w:t>
      </w:r>
      <w:r w:rsidRPr="00AA09AA">
        <w:rPr>
          <w:rFonts w:ascii="Verdana" w:hAnsi="Verdana"/>
          <w:color w:val="000080"/>
          <w:sz w:val="20"/>
          <w:lang w:val="en-GB"/>
        </w:rPr>
        <w:t xml:space="preserve"> </w:t>
      </w:r>
    </w:p>
    <w:p w:rsidR="000E292F" w:rsidRPr="00AA09AA" w:rsidRDefault="00460E72"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440"/>
        </w:tabs>
        <w:spacing w:line="264" w:lineRule="auto"/>
        <w:jc w:val="left"/>
        <w:rPr>
          <w:rFonts w:ascii="Verdana" w:hAnsi="Verdana" w:cs="Verdana"/>
          <w:color w:val="808080"/>
          <w:sz w:val="20"/>
          <w:lang w:val="en-GB" w:eastAsia="en-US"/>
        </w:rPr>
      </w:pPr>
      <w:hyperlink r:id="rId10" w:history="1">
        <w:r w:rsidR="000E292F" w:rsidRPr="00AA09AA">
          <w:rPr>
            <w:rFonts w:ascii="Verdana" w:hAnsi="Verdana" w:cs="Verdana"/>
            <w:color w:val="0000FF"/>
            <w:sz w:val="20"/>
            <w:u w:val="single"/>
            <w:lang w:val="en-GB" w:eastAsia="en-US"/>
          </w:rPr>
          <w:t>Poldep-Economy-Science@europarl.europa.eu</w:t>
        </w:r>
      </w:hyperlink>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r w:rsidRPr="00AA09AA">
        <w:rPr>
          <w:rFonts w:ascii="Verdana" w:hAnsi="Verdana"/>
          <w:color w:val="808080"/>
          <w:sz w:val="20"/>
          <w:lang w:val="en-GB"/>
        </w:rPr>
        <w:t>Manuscript completed in September 2014.</w:t>
      </w:r>
    </w:p>
    <w:p w:rsidR="000E292F" w:rsidRPr="00AA09AA" w:rsidRDefault="000E292F" w:rsidP="000E292F">
      <w:pPr>
        <w:pStyle w:val="Foot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s>
        <w:spacing w:line="264" w:lineRule="auto"/>
        <w:rPr>
          <w:rFonts w:ascii="Verdana" w:hAnsi="Verdana"/>
          <w:color w:val="808080"/>
          <w:sz w:val="20"/>
          <w:lang w:val="en-GB"/>
        </w:rPr>
      </w:pPr>
      <w:r w:rsidRPr="00AA09AA">
        <w:rPr>
          <w:rFonts w:ascii="Verdana" w:hAnsi="Verdana"/>
          <w:color w:val="808080"/>
          <w:sz w:val="20"/>
          <w:lang w:val="en-GB"/>
        </w:rPr>
        <w:t>© European Union, 2014.</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tabs>
          <w:tab w:val="left" w:pos="-1440"/>
          <w:tab w:val="left" w:pos="4111"/>
          <w:tab w:val="left" w:pos="5103"/>
        </w:tabs>
        <w:spacing w:line="264" w:lineRule="auto"/>
        <w:rPr>
          <w:rFonts w:ascii="Verdana" w:hAnsi="Verdana"/>
          <w:color w:val="808080"/>
          <w:sz w:val="20"/>
          <w:lang w:val="en-GB"/>
        </w:rPr>
      </w:pPr>
      <w:r w:rsidRPr="00AA09AA">
        <w:rPr>
          <w:rFonts w:ascii="Verdana" w:hAnsi="Verdana"/>
          <w:color w:val="808080"/>
          <w:sz w:val="20"/>
          <w:lang w:val="en-GB"/>
        </w:rPr>
        <w:t>This document is available on the Internet at:</w:t>
      </w:r>
    </w:p>
    <w:p w:rsidR="000E292F" w:rsidRPr="00AA09AA" w:rsidRDefault="00460E72" w:rsidP="000E292F">
      <w:pPr>
        <w:pStyle w:val="Footer"/>
        <w:tabs>
          <w:tab w:val="left" w:pos="-1440"/>
        </w:tabs>
        <w:spacing w:line="264" w:lineRule="auto"/>
        <w:rPr>
          <w:rFonts w:ascii="Verdana" w:hAnsi="Verdana"/>
          <w:color w:val="000080"/>
          <w:sz w:val="20"/>
          <w:lang w:val="en-GB"/>
        </w:rPr>
      </w:pPr>
      <w:hyperlink r:id="rId11" w:history="1">
        <w:r w:rsidR="000E292F" w:rsidRPr="00AA09AA">
          <w:rPr>
            <w:rStyle w:val="Hyperlink"/>
            <w:rFonts w:ascii="Verdana" w:hAnsi="Verdana"/>
            <w:sz w:val="20"/>
            <w:lang w:val="en-GB"/>
          </w:rPr>
          <w:t>http://www.ep.europa.eu/studies</w:t>
        </w:r>
      </w:hyperlink>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pStyle w:val="Foot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s>
        <w:spacing w:line="264" w:lineRule="auto"/>
        <w:rPr>
          <w:rFonts w:ascii="Verdana" w:hAnsi="Verdana"/>
          <w:b/>
          <w:color w:val="000080"/>
          <w:sz w:val="20"/>
          <w:lang w:val="en-GB"/>
        </w:rPr>
      </w:pPr>
      <w:r w:rsidRPr="00AA09AA">
        <w:rPr>
          <w:rFonts w:ascii="Verdana" w:hAnsi="Verdana"/>
          <w:b/>
          <w:color w:val="000080"/>
          <w:sz w:val="20"/>
          <w:lang w:val="en-GB"/>
        </w:rPr>
        <w:t>DISCLAIMER</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r w:rsidRPr="00AA09AA">
        <w:rPr>
          <w:rFonts w:ascii="Verdana" w:hAnsi="Verdana"/>
          <w:color w:val="808080"/>
          <w:sz w:val="20"/>
          <w:lang w:val="en-GB"/>
        </w:rPr>
        <w:t>The opinions expressed in this document are the sole responsibility of the author and do not necessarily represent the official position of the European Parliament.</w:t>
      </w:r>
    </w:p>
    <w:p w:rsidR="000E292F" w:rsidRPr="00AA09AA" w:rsidRDefault="000E292F" w:rsidP="000E292F">
      <w:pPr>
        <w:pStyle w:val="Foot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s>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color w:val="808080"/>
          <w:sz w:val="20"/>
          <w:lang w:val="en-GB"/>
        </w:rPr>
      </w:pPr>
      <w:r w:rsidRPr="00AA09AA">
        <w:rPr>
          <w:rFonts w:ascii="Verdana" w:hAnsi="Verdana"/>
          <w:color w:val="808080"/>
          <w:sz w:val="20"/>
          <w:lang w:val="en-GB"/>
        </w:rPr>
        <w:t>Reproduction and translation for non-commercial purposes are authorised, provided the source is acknowledged and the publisher is given prior notice and sent a copy.</w:t>
      </w:r>
    </w:p>
    <w:p w:rsidR="000E292F" w:rsidRPr="00AA09AA" w:rsidRDefault="000E292F" w:rsidP="000E292F">
      <w:pPr>
        <w:spacing w:line="264" w:lineRule="auto"/>
        <w:rPr>
          <w:rFonts w:ascii="Verdana" w:hAnsi="Verdana"/>
          <w:color w:val="808080"/>
          <w:sz w:val="20"/>
          <w:lang w:val="en-GB"/>
        </w:rPr>
      </w:pPr>
    </w:p>
    <w:p w:rsidR="000E292F" w:rsidRPr="00AA09AA" w:rsidRDefault="000E292F" w:rsidP="000E292F">
      <w:pPr>
        <w:spacing w:line="264" w:lineRule="auto"/>
        <w:rPr>
          <w:rFonts w:ascii="Verdana" w:hAnsi="Verdana"/>
          <w:lang w:val="en-GB"/>
        </w:rPr>
        <w:sectPr w:rsidR="000E292F" w:rsidRPr="00AA09AA">
          <w:headerReference w:type="even" r:id="rId12"/>
          <w:headerReference w:type="default" r:id="rId13"/>
          <w:headerReference w:type="first" r:id="rId14"/>
          <w:endnotePr>
            <w:numFmt w:val="decimal"/>
          </w:endnotePr>
          <w:pgSz w:w="11905" w:h="16837" w:code="9"/>
          <w:pgMar w:top="1418" w:right="1191" w:bottom="1418" w:left="1418" w:header="709" w:footer="709" w:gutter="0"/>
          <w:pgNumType w:fmt="lowerRoman"/>
          <w:noEndnote/>
          <w:titlePg/>
        </w:sectPr>
      </w:pPr>
    </w:p>
    <w:p w:rsidR="00707D3E" w:rsidRPr="00AA09AA" w:rsidRDefault="00707D3E" w:rsidP="0086100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after="240" w:line="264" w:lineRule="auto"/>
        <w:jc w:val="left"/>
        <w:rPr>
          <w:rFonts w:ascii="Verdana" w:hAnsi="Verdana" w:cs="Arial"/>
          <w:b/>
          <w:color w:val="000080"/>
          <w:sz w:val="28"/>
          <w:szCs w:val="28"/>
          <w:lang w:val="en-GB"/>
        </w:rPr>
      </w:pPr>
      <w:r w:rsidRPr="00AA09AA">
        <w:rPr>
          <w:rFonts w:ascii="Verdana" w:hAnsi="Verdana" w:cs="Arial"/>
          <w:b/>
          <w:color w:val="000080"/>
          <w:sz w:val="28"/>
          <w:szCs w:val="28"/>
          <w:lang w:val="en-GB"/>
        </w:rPr>
        <w:t>CONTENTS</w:t>
      </w:r>
      <w:bookmarkEnd w:id="1"/>
      <w:bookmarkEnd w:id="2"/>
      <w:bookmarkEnd w:id="3"/>
      <w:bookmarkEnd w:id="4"/>
    </w:p>
    <w:p w:rsidR="00160323" w:rsidRPr="00AA09AA" w:rsidRDefault="00460E72">
      <w:pPr>
        <w:pStyle w:val="TOC1"/>
        <w:rPr>
          <w:rFonts w:asciiTheme="minorHAnsi" w:eastAsiaTheme="minorEastAsia" w:hAnsiTheme="minorHAnsi" w:cstheme="minorBidi"/>
          <w:b w:val="0"/>
          <w:bCs w:val="0"/>
          <w:color w:val="auto"/>
          <w:lang w:val="en-GB"/>
        </w:rPr>
      </w:pPr>
      <w:r w:rsidRPr="00460E72">
        <w:rPr>
          <w:lang w:val="en-GB"/>
        </w:rPr>
        <w:fldChar w:fldCharType="begin"/>
      </w:r>
      <w:r w:rsidR="00707D3E" w:rsidRPr="00AA09AA">
        <w:rPr>
          <w:lang w:val="en-GB"/>
        </w:rPr>
        <w:instrText xml:space="preserve"> TOC \o "1-3" </w:instrText>
      </w:r>
      <w:r w:rsidRPr="00460E72">
        <w:rPr>
          <w:lang w:val="en-GB"/>
        </w:rPr>
        <w:fldChar w:fldCharType="separate"/>
      </w:r>
      <w:r w:rsidR="00160323" w:rsidRPr="00AA09AA">
        <w:rPr>
          <w:lang w:val="en-GB"/>
        </w:rPr>
        <w:t>EXECUTIVE SUMMARY</w:t>
      </w:r>
      <w:r w:rsidR="00160323" w:rsidRPr="00AA09AA">
        <w:rPr>
          <w:lang w:val="en-GB"/>
        </w:rPr>
        <w:tab/>
      </w:r>
      <w:r w:rsidRPr="00AA09AA">
        <w:rPr>
          <w:lang w:val="en-GB"/>
        </w:rPr>
        <w:fldChar w:fldCharType="begin"/>
      </w:r>
      <w:r w:rsidR="00160323" w:rsidRPr="00AA09AA">
        <w:rPr>
          <w:lang w:val="en-GB"/>
        </w:rPr>
        <w:instrText xml:space="preserve"> PAGEREF _Toc398554020 \h </w:instrText>
      </w:r>
      <w:r w:rsidR="002C24C4" w:rsidRPr="00460E72">
        <w:rPr>
          <w:lang w:val="en-GB"/>
        </w:rPr>
      </w:r>
      <w:r w:rsidRPr="00AA09AA">
        <w:rPr>
          <w:lang w:val="en-GB"/>
        </w:rPr>
        <w:fldChar w:fldCharType="separate"/>
      </w:r>
      <w:r w:rsidR="00160323" w:rsidRPr="00AA09AA">
        <w:rPr>
          <w:lang w:val="en-GB"/>
        </w:rPr>
        <w:t>4</w:t>
      </w:r>
      <w:r w:rsidRPr="00AA09AA">
        <w:rPr>
          <w:lang w:val="en-GB"/>
        </w:rPr>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1.</w:t>
      </w:r>
      <w:r w:rsidRPr="00AA09AA">
        <w:rPr>
          <w:rFonts w:asciiTheme="minorHAnsi" w:eastAsiaTheme="minorEastAsia" w:hAnsiTheme="minorHAnsi" w:cstheme="minorBidi"/>
          <w:b w:val="0"/>
          <w:bCs w:val="0"/>
          <w:color w:val="auto"/>
          <w:lang w:val="en-GB"/>
        </w:rPr>
        <w:tab/>
      </w:r>
      <w:r w:rsidRPr="00AA09AA">
        <w:rPr>
          <w:lang w:val="en-GB"/>
        </w:rPr>
        <w:t>INTRODUCTION: Rationale for ecb action</w:t>
      </w:r>
      <w:r w:rsidRPr="00AA09AA">
        <w:rPr>
          <w:lang w:val="en-GB"/>
        </w:rPr>
        <w:tab/>
      </w:r>
      <w:r w:rsidR="00460E72" w:rsidRPr="00AA09AA">
        <w:rPr>
          <w:lang w:val="en-GB"/>
        </w:rPr>
        <w:fldChar w:fldCharType="begin"/>
      </w:r>
      <w:r w:rsidRPr="00AA09AA">
        <w:rPr>
          <w:lang w:val="en-GB"/>
        </w:rPr>
        <w:instrText xml:space="preserve"> PAGEREF _Toc398554021 \h </w:instrText>
      </w:r>
      <w:r w:rsidR="002C24C4" w:rsidRPr="00460E72">
        <w:rPr>
          <w:lang w:val="en-GB"/>
        </w:rPr>
      </w:r>
      <w:r w:rsidR="00460E72" w:rsidRPr="00AA09AA">
        <w:rPr>
          <w:lang w:val="en-GB"/>
        </w:rPr>
        <w:fldChar w:fldCharType="separate"/>
      </w:r>
      <w:r w:rsidRPr="00AA09AA">
        <w:rPr>
          <w:lang w:val="en-GB"/>
        </w:rPr>
        <w:t>5</w:t>
      </w:r>
      <w:r w:rsidR="00460E72" w:rsidRPr="00AA09AA">
        <w:rPr>
          <w:lang w:val="en-GB"/>
        </w:rPr>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2.</w:t>
      </w:r>
      <w:r w:rsidRPr="00AA09AA">
        <w:rPr>
          <w:rFonts w:asciiTheme="minorHAnsi" w:eastAsiaTheme="minorEastAsia" w:hAnsiTheme="minorHAnsi" w:cstheme="minorBidi"/>
          <w:b w:val="0"/>
          <w:bCs w:val="0"/>
          <w:color w:val="auto"/>
          <w:lang w:val="en-GB"/>
        </w:rPr>
        <w:tab/>
      </w:r>
      <w:r w:rsidRPr="00AA09AA">
        <w:rPr>
          <w:lang w:val="en-GB"/>
        </w:rPr>
        <w:t>OBJECTIVES</w:t>
      </w:r>
      <w:r w:rsidRPr="00AA09AA">
        <w:rPr>
          <w:lang w:val="en-GB"/>
        </w:rPr>
        <w:tab/>
      </w:r>
      <w:r w:rsidR="00460E72" w:rsidRPr="00AA09AA">
        <w:rPr>
          <w:lang w:val="en-GB"/>
        </w:rPr>
        <w:fldChar w:fldCharType="begin"/>
      </w:r>
      <w:r w:rsidRPr="00AA09AA">
        <w:rPr>
          <w:lang w:val="en-GB"/>
        </w:rPr>
        <w:instrText xml:space="preserve"> PAGEREF _Toc398554022 \h </w:instrText>
      </w:r>
      <w:r w:rsidR="002C24C4" w:rsidRPr="00460E72">
        <w:rPr>
          <w:lang w:val="en-GB"/>
        </w:rPr>
      </w:r>
      <w:r w:rsidR="00460E72" w:rsidRPr="00AA09AA">
        <w:rPr>
          <w:lang w:val="en-GB"/>
        </w:rPr>
        <w:fldChar w:fldCharType="separate"/>
      </w:r>
      <w:r w:rsidRPr="00AA09AA">
        <w:rPr>
          <w:lang w:val="en-GB"/>
        </w:rPr>
        <w:t>7</w:t>
      </w:r>
      <w:r w:rsidR="00460E72" w:rsidRPr="00AA09AA">
        <w:rPr>
          <w:lang w:val="en-GB"/>
        </w:rPr>
        <w:fldChar w:fldCharType="end"/>
      </w:r>
    </w:p>
    <w:p w:rsidR="00160323" w:rsidRPr="00AA09AA" w:rsidRDefault="00160323">
      <w:pPr>
        <w:pStyle w:val="TOC2"/>
        <w:rPr>
          <w:rFonts w:asciiTheme="minorHAnsi" w:eastAsiaTheme="minorEastAsia" w:hAnsiTheme="minorHAnsi" w:cstheme="minorBidi"/>
          <w:color w:val="auto"/>
          <w:kern w:val="0"/>
          <w:sz w:val="22"/>
          <w:szCs w:val="22"/>
        </w:rPr>
      </w:pPr>
      <w:r w:rsidRPr="00AA09AA">
        <w:rPr>
          <w:rFonts w:cs="Wingdings"/>
        </w:rPr>
        <w:t>2.1.</w:t>
      </w:r>
      <w:r w:rsidRPr="00AA09AA">
        <w:rPr>
          <w:rFonts w:asciiTheme="minorHAnsi" w:eastAsiaTheme="minorEastAsia" w:hAnsiTheme="minorHAnsi" w:cstheme="minorBidi"/>
          <w:color w:val="auto"/>
          <w:kern w:val="0"/>
          <w:sz w:val="22"/>
          <w:szCs w:val="22"/>
        </w:rPr>
        <w:tab/>
      </w:r>
      <w:r w:rsidRPr="00AA09AA">
        <w:t>Achieving a self-sustained recovery</w:t>
      </w:r>
      <w:r w:rsidRPr="00AA09AA">
        <w:tab/>
      </w:r>
      <w:r w:rsidR="00460E72" w:rsidRPr="00AA09AA">
        <w:fldChar w:fldCharType="begin"/>
      </w:r>
      <w:r w:rsidRPr="00AA09AA">
        <w:instrText xml:space="preserve"> PAGEREF _Toc398554023 \h </w:instrText>
      </w:r>
      <w:r w:rsidR="00460E72" w:rsidRPr="00AA09AA">
        <w:fldChar w:fldCharType="separate"/>
      </w:r>
      <w:r w:rsidRPr="00AA09AA">
        <w:t>7</w:t>
      </w:r>
      <w:r w:rsidR="00460E72" w:rsidRPr="00AA09AA">
        <w:fldChar w:fldCharType="end"/>
      </w:r>
    </w:p>
    <w:p w:rsidR="00160323" w:rsidRPr="00AA09AA" w:rsidRDefault="00160323">
      <w:pPr>
        <w:pStyle w:val="TOC2"/>
        <w:rPr>
          <w:rFonts w:asciiTheme="minorHAnsi" w:eastAsiaTheme="minorEastAsia" w:hAnsiTheme="minorHAnsi" w:cstheme="minorBidi"/>
          <w:color w:val="auto"/>
          <w:kern w:val="0"/>
          <w:sz w:val="22"/>
          <w:szCs w:val="22"/>
        </w:rPr>
      </w:pPr>
      <w:r w:rsidRPr="00AA09AA">
        <w:rPr>
          <w:rFonts w:cs="Wingdings"/>
        </w:rPr>
        <w:t>2.2.</w:t>
      </w:r>
      <w:r w:rsidRPr="00AA09AA">
        <w:rPr>
          <w:rFonts w:asciiTheme="minorHAnsi" w:eastAsiaTheme="minorEastAsia" w:hAnsiTheme="minorHAnsi" w:cstheme="minorBidi"/>
          <w:color w:val="auto"/>
          <w:kern w:val="0"/>
          <w:sz w:val="22"/>
          <w:szCs w:val="22"/>
        </w:rPr>
        <w:tab/>
      </w:r>
      <w:r w:rsidRPr="00AA09AA">
        <w:t>Weakening the exchange rate</w:t>
      </w:r>
      <w:r w:rsidRPr="00AA09AA">
        <w:tab/>
      </w:r>
      <w:r w:rsidR="00460E72" w:rsidRPr="00AA09AA">
        <w:fldChar w:fldCharType="begin"/>
      </w:r>
      <w:r w:rsidRPr="00AA09AA">
        <w:instrText xml:space="preserve"> PAGEREF _Toc398554024 \h </w:instrText>
      </w:r>
      <w:r w:rsidR="00460E72" w:rsidRPr="00AA09AA">
        <w:fldChar w:fldCharType="separate"/>
      </w:r>
      <w:r w:rsidRPr="00AA09AA">
        <w:t>8</w:t>
      </w:r>
      <w:r w:rsidR="00460E72" w:rsidRPr="00AA09AA">
        <w:fldChar w:fldCharType="end"/>
      </w:r>
    </w:p>
    <w:p w:rsidR="00160323" w:rsidRPr="00AA09AA" w:rsidRDefault="00160323">
      <w:pPr>
        <w:pStyle w:val="TOC2"/>
        <w:rPr>
          <w:rFonts w:asciiTheme="minorHAnsi" w:eastAsiaTheme="minorEastAsia" w:hAnsiTheme="minorHAnsi" w:cstheme="minorBidi"/>
          <w:color w:val="auto"/>
          <w:kern w:val="0"/>
          <w:sz w:val="22"/>
          <w:szCs w:val="22"/>
        </w:rPr>
      </w:pPr>
      <w:r w:rsidRPr="00AA09AA">
        <w:rPr>
          <w:rFonts w:cs="Wingdings"/>
        </w:rPr>
        <w:t>2.3.</w:t>
      </w:r>
      <w:r w:rsidRPr="00AA09AA">
        <w:rPr>
          <w:rFonts w:asciiTheme="minorHAnsi" w:eastAsiaTheme="minorEastAsia" w:hAnsiTheme="minorHAnsi" w:cstheme="minorBidi"/>
          <w:color w:val="auto"/>
          <w:kern w:val="0"/>
          <w:sz w:val="22"/>
          <w:szCs w:val="22"/>
        </w:rPr>
        <w:tab/>
      </w:r>
      <w:r w:rsidRPr="00AA09AA">
        <w:t>Keeping inflation expectations anchored</w:t>
      </w:r>
      <w:r w:rsidRPr="00AA09AA">
        <w:tab/>
      </w:r>
      <w:r w:rsidR="00460E72" w:rsidRPr="00AA09AA">
        <w:fldChar w:fldCharType="begin"/>
      </w:r>
      <w:r w:rsidRPr="00AA09AA">
        <w:instrText xml:space="preserve"> PAGEREF _Toc398554025 \h </w:instrText>
      </w:r>
      <w:r w:rsidR="00460E72" w:rsidRPr="00AA09AA">
        <w:fldChar w:fldCharType="separate"/>
      </w:r>
      <w:r w:rsidRPr="00AA09AA">
        <w:t>9</w:t>
      </w:r>
      <w:r w:rsidR="00460E72" w:rsidRPr="00AA09AA">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3.</w:t>
      </w:r>
      <w:r w:rsidRPr="00AA09AA">
        <w:rPr>
          <w:rFonts w:asciiTheme="minorHAnsi" w:eastAsiaTheme="minorEastAsia" w:hAnsiTheme="minorHAnsi" w:cstheme="minorBidi"/>
          <w:b w:val="0"/>
          <w:bCs w:val="0"/>
          <w:color w:val="auto"/>
          <w:lang w:val="en-GB"/>
        </w:rPr>
        <w:tab/>
      </w:r>
      <w:r w:rsidRPr="00AA09AA">
        <w:rPr>
          <w:lang w:val="en-GB"/>
        </w:rPr>
        <w:t>NEGATIVE INTEREST RATE</w:t>
      </w:r>
      <w:r w:rsidRPr="00AA09AA">
        <w:rPr>
          <w:lang w:val="en-GB"/>
        </w:rPr>
        <w:tab/>
      </w:r>
      <w:r w:rsidR="00460E72" w:rsidRPr="00AA09AA">
        <w:rPr>
          <w:lang w:val="en-GB"/>
        </w:rPr>
        <w:fldChar w:fldCharType="begin"/>
      </w:r>
      <w:r w:rsidRPr="00AA09AA">
        <w:rPr>
          <w:lang w:val="en-GB"/>
        </w:rPr>
        <w:instrText xml:space="preserve"> PAGEREF _Toc398554026 \h </w:instrText>
      </w:r>
      <w:r w:rsidR="002C24C4" w:rsidRPr="00460E72">
        <w:rPr>
          <w:lang w:val="en-GB"/>
        </w:rPr>
      </w:r>
      <w:r w:rsidR="00460E72" w:rsidRPr="00AA09AA">
        <w:rPr>
          <w:lang w:val="en-GB"/>
        </w:rPr>
        <w:fldChar w:fldCharType="separate"/>
      </w:r>
      <w:r w:rsidRPr="00AA09AA">
        <w:rPr>
          <w:lang w:val="en-GB"/>
        </w:rPr>
        <w:t>10</w:t>
      </w:r>
      <w:r w:rsidR="00460E72" w:rsidRPr="00AA09AA">
        <w:rPr>
          <w:lang w:val="en-GB"/>
        </w:rPr>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4.</w:t>
      </w:r>
      <w:r w:rsidRPr="00AA09AA">
        <w:rPr>
          <w:rFonts w:asciiTheme="minorHAnsi" w:eastAsiaTheme="minorEastAsia" w:hAnsiTheme="minorHAnsi" w:cstheme="minorBidi"/>
          <w:b w:val="0"/>
          <w:bCs w:val="0"/>
          <w:color w:val="auto"/>
          <w:lang w:val="en-GB"/>
        </w:rPr>
        <w:tab/>
      </w:r>
      <w:r w:rsidRPr="00AA09AA">
        <w:rPr>
          <w:lang w:val="en-GB"/>
        </w:rPr>
        <w:t>BOND PURCHASES</w:t>
      </w:r>
      <w:r w:rsidRPr="00AA09AA">
        <w:rPr>
          <w:lang w:val="en-GB"/>
        </w:rPr>
        <w:tab/>
      </w:r>
      <w:r w:rsidR="00460E72" w:rsidRPr="00AA09AA">
        <w:rPr>
          <w:lang w:val="en-GB"/>
        </w:rPr>
        <w:fldChar w:fldCharType="begin"/>
      </w:r>
      <w:r w:rsidRPr="00AA09AA">
        <w:rPr>
          <w:lang w:val="en-GB"/>
        </w:rPr>
        <w:instrText xml:space="preserve"> PAGEREF _Toc398554027 \h </w:instrText>
      </w:r>
      <w:r w:rsidR="002C24C4" w:rsidRPr="00460E72">
        <w:rPr>
          <w:lang w:val="en-GB"/>
        </w:rPr>
      </w:r>
      <w:r w:rsidR="00460E72" w:rsidRPr="00AA09AA">
        <w:rPr>
          <w:lang w:val="en-GB"/>
        </w:rPr>
        <w:fldChar w:fldCharType="separate"/>
      </w:r>
      <w:r w:rsidRPr="00AA09AA">
        <w:rPr>
          <w:lang w:val="en-GB"/>
        </w:rPr>
        <w:t>12</w:t>
      </w:r>
      <w:r w:rsidR="00460E72" w:rsidRPr="00AA09AA">
        <w:rPr>
          <w:lang w:val="en-GB"/>
        </w:rPr>
        <w:fldChar w:fldCharType="end"/>
      </w:r>
    </w:p>
    <w:p w:rsidR="00160323" w:rsidRPr="00AA09AA" w:rsidRDefault="00160323">
      <w:pPr>
        <w:pStyle w:val="TOC2"/>
        <w:rPr>
          <w:rFonts w:asciiTheme="minorHAnsi" w:eastAsiaTheme="minorEastAsia" w:hAnsiTheme="minorHAnsi" w:cstheme="minorBidi"/>
          <w:color w:val="auto"/>
          <w:kern w:val="0"/>
          <w:sz w:val="22"/>
          <w:szCs w:val="22"/>
        </w:rPr>
      </w:pPr>
      <w:r w:rsidRPr="00AA09AA">
        <w:rPr>
          <w:rFonts w:cs="Wingdings"/>
        </w:rPr>
        <w:t>4.1.</w:t>
      </w:r>
      <w:r w:rsidRPr="00AA09AA">
        <w:rPr>
          <w:rFonts w:asciiTheme="minorHAnsi" w:eastAsiaTheme="minorEastAsia" w:hAnsiTheme="minorHAnsi" w:cstheme="minorBidi"/>
          <w:color w:val="auto"/>
          <w:kern w:val="0"/>
          <w:sz w:val="22"/>
          <w:szCs w:val="22"/>
        </w:rPr>
        <w:tab/>
      </w:r>
      <w:r w:rsidRPr="00AA09AA">
        <w:t>Targeted Long Term Refinancing Operations (TLTRO)</w:t>
      </w:r>
      <w:r w:rsidRPr="00AA09AA">
        <w:tab/>
      </w:r>
      <w:r w:rsidR="00460E72" w:rsidRPr="00AA09AA">
        <w:fldChar w:fldCharType="begin"/>
      </w:r>
      <w:r w:rsidRPr="00AA09AA">
        <w:instrText xml:space="preserve"> PAGEREF _Toc398554028 \h </w:instrText>
      </w:r>
      <w:r w:rsidR="00460E72" w:rsidRPr="00AA09AA">
        <w:fldChar w:fldCharType="separate"/>
      </w:r>
      <w:r w:rsidRPr="00AA09AA">
        <w:t>12</w:t>
      </w:r>
      <w:r w:rsidR="00460E72" w:rsidRPr="00AA09AA">
        <w:fldChar w:fldCharType="end"/>
      </w:r>
    </w:p>
    <w:p w:rsidR="00160323" w:rsidRPr="00AA09AA" w:rsidRDefault="00160323">
      <w:pPr>
        <w:pStyle w:val="TOC2"/>
        <w:rPr>
          <w:rFonts w:asciiTheme="minorHAnsi" w:eastAsiaTheme="minorEastAsia" w:hAnsiTheme="minorHAnsi" w:cstheme="minorBidi"/>
          <w:color w:val="auto"/>
          <w:kern w:val="0"/>
          <w:sz w:val="22"/>
          <w:szCs w:val="22"/>
        </w:rPr>
      </w:pPr>
      <w:r w:rsidRPr="00AA09AA">
        <w:rPr>
          <w:rFonts w:cs="Wingdings"/>
        </w:rPr>
        <w:t>4.2.</w:t>
      </w:r>
      <w:r w:rsidRPr="00AA09AA">
        <w:rPr>
          <w:rFonts w:asciiTheme="minorHAnsi" w:eastAsiaTheme="minorEastAsia" w:hAnsiTheme="minorHAnsi" w:cstheme="minorBidi"/>
          <w:color w:val="auto"/>
          <w:kern w:val="0"/>
          <w:sz w:val="22"/>
          <w:szCs w:val="22"/>
        </w:rPr>
        <w:tab/>
      </w:r>
      <w:r w:rsidRPr="00AA09AA">
        <w:t>Asset Backed Securities and Covered Bonds Purchases</w:t>
      </w:r>
      <w:r w:rsidRPr="00AA09AA">
        <w:tab/>
      </w:r>
      <w:r w:rsidR="00460E72" w:rsidRPr="00AA09AA">
        <w:fldChar w:fldCharType="begin"/>
      </w:r>
      <w:r w:rsidRPr="00AA09AA">
        <w:instrText xml:space="preserve"> PAGEREF _Toc398554029 \h </w:instrText>
      </w:r>
      <w:r w:rsidR="00460E72" w:rsidRPr="00AA09AA">
        <w:fldChar w:fldCharType="separate"/>
      </w:r>
      <w:r w:rsidRPr="00AA09AA">
        <w:t>12</w:t>
      </w:r>
      <w:r w:rsidR="00460E72" w:rsidRPr="00AA09AA">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5.</w:t>
      </w:r>
      <w:r w:rsidRPr="00AA09AA">
        <w:rPr>
          <w:rFonts w:asciiTheme="minorHAnsi" w:eastAsiaTheme="minorEastAsia" w:hAnsiTheme="minorHAnsi" w:cstheme="minorBidi"/>
          <w:b w:val="0"/>
          <w:bCs w:val="0"/>
          <w:color w:val="auto"/>
          <w:lang w:val="en-GB"/>
        </w:rPr>
        <w:tab/>
      </w:r>
      <w:r w:rsidRPr="00AA09AA">
        <w:rPr>
          <w:lang w:val="en-GB"/>
        </w:rPr>
        <w:t>THE DIFFERENCE WITH QE</w:t>
      </w:r>
      <w:r w:rsidRPr="00AA09AA">
        <w:rPr>
          <w:lang w:val="en-GB"/>
        </w:rPr>
        <w:tab/>
      </w:r>
      <w:r w:rsidR="00460E72" w:rsidRPr="00AA09AA">
        <w:rPr>
          <w:lang w:val="en-GB"/>
        </w:rPr>
        <w:fldChar w:fldCharType="begin"/>
      </w:r>
      <w:r w:rsidRPr="00AA09AA">
        <w:rPr>
          <w:lang w:val="en-GB"/>
        </w:rPr>
        <w:instrText xml:space="preserve"> PAGEREF _Toc398554030 \h </w:instrText>
      </w:r>
      <w:r w:rsidR="002C24C4" w:rsidRPr="00460E72">
        <w:rPr>
          <w:lang w:val="en-GB"/>
        </w:rPr>
      </w:r>
      <w:r w:rsidR="00460E72" w:rsidRPr="00AA09AA">
        <w:rPr>
          <w:lang w:val="en-GB"/>
        </w:rPr>
        <w:fldChar w:fldCharType="separate"/>
      </w:r>
      <w:r w:rsidRPr="00AA09AA">
        <w:rPr>
          <w:lang w:val="en-GB"/>
        </w:rPr>
        <w:t>14</w:t>
      </w:r>
      <w:r w:rsidR="00460E72" w:rsidRPr="00AA09AA">
        <w:rPr>
          <w:lang w:val="en-GB"/>
        </w:rPr>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rFonts w:cs="Wingdings"/>
          <w:color w:val="333399"/>
          <w:lang w:val="en-GB"/>
        </w:rPr>
        <w:t>6.</w:t>
      </w:r>
      <w:r w:rsidRPr="00AA09AA">
        <w:rPr>
          <w:rFonts w:asciiTheme="minorHAnsi" w:eastAsiaTheme="minorEastAsia" w:hAnsiTheme="minorHAnsi" w:cstheme="minorBidi"/>
          <w:b w:val="0"/>
          <w:bCs w:val="0"/>
          <w:color w:val="auto"/>
          <w:lang w:val="en-GB"/>
        </w:rPr>
        <w:tab/>
      </w:r>
      <w:r w:rsidRPr="00AA09AA">
        <w:rPr>
          <w:lang w:val="en-GB"/>
        </w:rPr>
        <w:t>CONCLUSION</w:t>
      </w:r>
      <w:r w:rsidRPr="00AA09AA">
        <w:rPr>
          <w:lang w:val="en-GB"/>
        </w:rPr>
        <w:tab/>
      </w:r>
      <w:r w:rsidR="00460E72" w:rsidRPr="00AA09AA">
        <w:rPr>
          <w:lang w:val="en-GB"/>
        </w:rPr>
        <w:fldChar w:fldCharType="begin"/>
      </w:r>
      <w:r w:rsidRPr="00AA09AA">
        <w:rPr>
          <w:lang w:val="en-GB"/>
        </w:rPr>
        <w:instrText xml:space="preserve"> PAGEREF _Toc398554031 \h </w:instrText>
      </w:r>
      <w:r w:rsidR="002C24C4" w:rsidRPr="00460E72">
        <w:rPr>
          <w:lang w:val="en-GB"/>
        </w:rPr>
      </w:r>
      <w:r w:rsidR="00460E72" w:rsidRPr="00AA09AA">
        <w:rPr>
          <w:lang w:val="en-GB"/>
        </w:rPr>
        <w:fldChar w:fldCharType="separate"/>
      </w:r>
      <w:r w:rsidRPr="00AA09AA">
        <w:rPr>
          <w:lang w:val="en-GB"/>
        </w:rPr>
        <w:t>15</w:t>
      </w:r>
      <w:r w:rsidR="00460E72" w:rsidRPr="00AA09AA">
        <w:rPr>
          <w:lang w:val="en-GB"/>
        </w:rPr>
        <w:fldChar w:fldCharType="end"/>
      </w:r>
    </w:p>
    <w:p w:rsidR="00160323" w:rsidRPr="00AA09AA" w:rsidRDefault="00160323">
      <w:pPr>
        <w:pStyle w:val="TOC1"/>
        <w:rPr>
          <w:rFonts w:asciiTheme="minorHAnsi" w:eastAsiaTheme="minorEastAsia" w:hAnsiTheme="minorHAnsi" w:cstheme="minorBidi"/>
          <w:b w:val="0"/>
          <w:bCs w:val="0"/>
          <w:color w:val="auto"/>
          <w:lang w:val="en-GB"/>
        </w:rPr>
      </w:pPr>
      <w:r w:rsidRPr="00AA09AA">
        <w:rPr>
          <w:lang w:val="en-GB"/>
        </w:rPr>
        <w:t>REFERENCES</w:t>
      </w:r>
      <w:r w:rsidRPr="00AA09AA">
        <w:rPr>
          <w:lang w:val="en-GB"/>
        </w:rPr>
        <w:tab/>
      </w:r>
      <w:r w:rsidR="00460E72" w:rsidRPr="00AA09AA">
        <w:rPr>
          <w:lang w:val="en-GB"/>
        </w:rPr>
        <w:fldChar w:fldCharType="begin"/>
      </w:r>
      <w:r w:rsidRPr="00AA09AA">
        <w:rPr>
          <w:lang w:val="en-GB"/>
        </w:rPr>
        <w:instrText xml:space="preserve"> PAGEREF _Toc398554032 \h </w:instrText>
      </w:r>
      <w:r w:rsidR="002C24C4" w:rsidRPr="00460E72">
        <w:rPr>
          <w:lang w:val="en-GB"/>
        </w:rPr>
      </w:r>
      <w:r w:rsidR="00460E72" w:rsidRPr="00AA09AA">
        <w:rPr>
          <w:lang w:val="en-GB"/>
        </w:rPr>
        <w:fldChar w:fldCharType="separate"/>
      </w:r>
      <w:r w:rsidRPr="00AA09AA">
        <w:rPr>
          <w:lang w:val="en-GB"/>
        </w:rPr>
        <w:t>16</w:t>
      </w:r>
      <w:r w:rsidR="00460E72" w:rsidRPr="00AA09AA">
        <w:rPr>
          <w:lang w:val="en-GB"/>
        </w:rPr>
        <w:fldChar w:fldCharType="end"/>
      </w:r>
    </w:p>
    <w:p w:rsidR="00707D3E" w:rsidRPr="00AA09AA" w:rsidRDefault="00460E72" w:rsidP="004B2A4A">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line="264" w:lineRule="auto"/>
        <w:jc w:val="left"/>
        <w:rPr>
          <w:rFonts w:ascii="Verdana" w:hAnsi="Verdana" w:cs="Arial"/>
          <w:b/>
          <w:sz w:val="20"/>
          <w:lang w:val="en-GB"/>
        </w:rPr>
      </w:pPr>
      <w:r w:rsidRPr="00AA09AA">
        <w:rPr>
          <w:rFonts w:ascii="Verdana" w:hAnsi="Verdana"/>
          <w:lang w:val="en-GB"/>
        </w:rPr>
        <w:fldChar w:fldCharType="end"/>
      </w:r>
    </w:p>
    <w:p w:rsidR="00707D3E" w:rsidRPr="00AA09AA" w:rsidRDefault="00707D3E" w:rsidP="000E292F">
      <w:pPr>
        <w:pStyle w:val="StyleOtherheading1Before12ptLinespacingMultiple11"/>
      </w:pPr>
      <w:bookmarkStart w:id="5" w:name="_Toc220300859"/>
      <w:bookmarkStart w:id="6" w:name="_Toc220301432"/>
      <w:bookmarkStart w:id="7" w:name="_Toc220301556"/>
      <w:r w:rsidRPr="00AA09AA">
        <w:rPr>
          <w:rStyle w:val="StyleOtherheading110ptChar"/>
          <w:b/>
          <w:caps/>
        </w:rPr>
        <w:br w:type="page"/>
      </w:r>
      <w:bookmarkStart w:id="8" w:name="_Toc220300862"/>
      <w:bookmarkStart w:id="9" w:name="_Toc220301435"/>
      <w:bookmarkStart w:id="10" w:name="_Toc303099922"/>
      <w:bookmarkStart w:id="11" w:name="_Toc398554020"/>
      <w:bookmarkEnd w:id="5"/>
      <w:bookmarkEnd w:id="6"/>
      <w:bookmarkEnd w:id="7"/>
      <w:r w:rsidRPr="00AA09AA">
        <w:t>EXECUTIVE SUMMARY</w:t>
      </w:r>
      <w:bookmarkEnd w:id="8"/>
      <w:bookmarkEnd w:id="9"/>
      <w:bookmarkEnd w:id="10"/>
      <w:bookmarkEnd w:id="11"/>
    </w:p>
    <w:p w:rsidR="009B361C" w:rsidRPr="00AA09AA" w:rsidRDefault="00552B04" w:rsidP="007D6C33">
      <w:pPr>
        <w:pStyle w:val="EUPNormal"/>
      </w:pPr>
      <w:r w:rsidRPr="00AA09AA">
        <w:t xml:space="preserve">Between June and September 2014, the ECB has announced a series of measures designed to deal with an inflation rate significantly below its own definition of price stability. </w:t>
      </w:r>
      <w:r w:rsidR="009B361C" w:rsidRPr="00AA09AA">
        <w:t>Three measures have been taken:</w:t>
      </w:r>
    </w:p>
    <w:p w:rsidR="009B361C" w:rsidRPr="00AA09AA" w:rsidRDefault="009B361C" w:rsidP="007A740E">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A reduction of the policy interest rates.</w:t>
      </w:r>
    </w:p>
    <w:p w:rsidR="00C94AF7" w:rsidRPr="00AA09AA" w:rsidRDefault="009B361C" w:rsidP="007A740E">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A new programme to provide liquidity to banks on the basis of their loans to the private sector, excluding housing loans.</w:t>
      </w:r>
    </w:p>
    <w:p w:rsidR="00C94AF7" w:rsidRPr="00AA09AA" w:rsidRDefault="009B361C" w:rsidP="007D6C33">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A programme focused on housing loans. </w:t>
      </w:r>
    </w:p>
    <w:p w:rsidR="009B361C" w:rsidRPr="00AA09AA" w:rsidRDefault="007916C4" w:rsidP="007D6C33">
      <w:pPr>
        <w:pStyle w:val="EUPNormal"/>
      </w:pPr>
      <w:r w:rsidRPr="00AA09AA">
        <w:t>The interest rate action is symbolic, being too small to have any significant impact.</w:t>
      </w:r>
    </w:p>
    <w:p w:rsidR="007916C4" w:rsidRPr="00AA09AA" w:rsidRDefault="007916C4" w:rsidP="007D6C33">
      <w:pPr>
        <w:pStyle w:val="EUPNormal"/>
      </w:pPr>
      <w:r w:rsidRPr="00AA09AA">
        <w:t xml:space="preserve">The new Targeted Long-term Refinancing Operation is an encouragement to commercial banks to increase their lending activity. This makes sense as the value of loans outstanding has declined over the last two years. It will take the form of loans to commercial banks, due to mature in September 2018. The amounts available to each bank will depend on the size of its portfolio for the first wave of September and December 2014. A second wave, due to start in March 2015 and conclude in June 2016, will </w:t>
      </w:r>
      <w:r w:rsidR="00440D2A" w:rsidRPr="00AA09AA">
        <w:t>take into account</w:t>
      </w:r>
      <w:r w:rsidRPr="00AA09AA">
        <w:t xml:space="preserve"> new loans to the private sector</w:t>
      </w:r>
      <w:r w:rsidR="00B96357" w:rsidRPr="00AA09AA">
        <w:t xml:space="preserve">. </w:t>
      </w:r>
    </w:p>
    <w:p w:rsidR="00027077" w:rsidRPr="00AA09AA" w:rsidRDefault="00440D2A" w:rsidP="007D6C33">
      <w:pPr>
        <w:pStyle w:val="EUPNormal"/>
      </w:pPr>
      <w:r w:rsidRPr="00AA09AA">
        <w:t>The last programme aims at housing loans. The ECB stands to buy portfolios of loans put together as Asset Backed Securities and covered bonds. The ABS will be tranched into parts ranked by seniority and the ECB will buy the sa</w:t>
      </w:r>
      <w:r w:rsidR="00141104" w:rsidRPr="00AA09AA">
        <w:t>fer tranches. This programme</w:t>
      </w:r>
      <w:r w:rsidRPr="00AA09AA">
        <w:t xml:space="preserve"> will require </w:t>
      </w:r>
      <w:r w:rsidR="00141104" w:rsidRPr="00AA09AA">
        <w:t>a revival of</w:t>
      </w:r>
      <w:r w:rsidRPr="00AA09AA">
        <w:t xml:space="preserve"> ABS activity, in spite of the tarnished reputation of these instruments following</w:t>
      </w:r>
      <w:r w:rsidR="00027077" w:rsidRPr="00AA09AA">
        <w:t xml:space="preserve"> the US subprime crisis. </w:t>
      </w:r>
    </w:p>
    <w:p w:rsidR="00027077" w:rsidRPr="00AA09AA" w:rsidRDefault="00027077" w:rsidP="007D6C33">
      <w:pPr>
        <w:pStyle w:val="EUPNormal"/>
      </w:pPr>
      <w:r w:rsidRPr="00AA09AA">
        <w:t>In contrast with now-standard Quantitative Easing (QE) programmes, the ECB has not announced any amount of liquidity injection. It cannot. Indeed, standard QE involves purchases of existing assets, mostly public debt instruments. In that case, the central bank can decide what it buys, when and how much of it. The ECB programmes depend entirely on how much commercial banks will wish to offer. The overall effect is therefore unknown and subject to the following doubts:</w:t>
      </w:r>
    </w:p>
    <w:p w:rsidR="009B361C" w:rsidRPr="00AA09AA" w:rsidRDefault="00027077" w:rsidP="0026134A">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The programmes assume that sluggish lending activity is due to a lack of liquidity in the banking system. As the system is fragmented, liquidity is not widely shared</w:t>
      </w:r>
      <w:r w:rsidR="00141104" w:rsidRPr="00AA09AA">
        <w:rPr>
          <w:rFonts w:ascii="Verdana" w:eastAsia="Calibri" w:hAnsi="Verdana"/>
          <w:sz w:val="20"/>
          <w:lang w:val="en-GB" w:eastAsia="en-US"/>
        </w:rPr>
        <w:t xml:space="preserve"> and the programme should improve the situation in that respect</w:t>
      </w:r>
      <w:r w:rsidRPr="00AA09AA">
        <w:rPr>
          <w:rFonts w:ascii="Verdana" w:eastAsia="Calibri" w:hAnsi="Verdana"/>
          <w:sz w:val="20"/>
          <w:lang w:val="en-GB" w:eastAsia="en-US"/>
        </w:rPr>
        <w:t xml:space="preserve">. </w:t>
      </w:r>
      <w:r w:rsidR="00141104" w:rsidRPr="00AA09AA">
        <w:rPr>
          <w:rFonts w:ascii="Verdana" w:eastAsia="Calibri" w:hAnsi="Verdana"/>
          <w:sz w:val="20"/>
          <w:lang w:val="en-GB" w:eastAsia="en-US"/>
        </w:rPr>
        <w:t>Overall however, e</w:t>
      </w:r>
      <w:r w:rsidRPr="00AA09AA">
        <w:rPr>
          <w:rFonts w:ascii="Verdana" w:eastAsia="Calibri" w:hAnsi="Verdana"/>
          <w:sz w:val="20"/>
          <w:lang w:val="en-GB" w:eastAsia="en-US"/>
        </w:rPr>
        <w:t xml:space="preserve">vidence does not support the view that lending activity is restrained by banks’ ability to lend. </w:t>
      </w:r>
      <w:r w:rsidR="00141104" w:rsidRPr="00AA09AA">
        <w:rPr>
          <w:rFonts w:ascii="Verdana" w:eastAsia="Calibri" w:hAnsi="Verdana"/>
          <w:sz w:val="20"/>
          <w:lang w:val="en-GB" w:eastAsia="en-US"/>
        </w:rPr>
        <w:t>W</w:t>
      </w:r>
      <w:r w:rsidRPr="00AA09AA">
        <w:rPr>
          <w:rFonts w:ascii="Verdana" w:eastAsia="Calibri" w:hAnsi="Verdana"/>
          <w:sz w:val="20"/>
          <w:lang w:val="en-GB" w:eastAsia="en-US"/>
        </w:rPr>
        <w:t xml:space="preserve">eak demand for loans is the </w:t>
      </w:r>
      <w:r w:rsidR="00141104" w:rsidRPr="00AA09AA">
        <w:rPr>
          <w:rFonts w:ascii="Verdana" w:eastAsia="Calibri" w:hAnsi="Verdana"/>
          <w:sz w:val="20"/>
          <w:lang w:val="en-GB" w:eastAsia="en-US"/>
        </w:rPr>
        <w:t xml:space="preserve">most likely </w:t>
      </w:r>
      <w:r w:rsidRPr="00AA09AA">
        <w:rPr>
          <w:rFonts w:ascii="Verdana" w:eastAsia="Calibri" w:hAnsi="Verdana"/>
          <w:sz w:val="20"/>
          <w:lang w:val="en-GB" w:eastAsia="en-US"/>
        </w:rPr>
        <w:t xml:space="preserve">reason, </w:t>
      </w:r>
      <w:r w:rsidR="00141104" w:rsidRPr="00AA09AA">
        <w:rPr>
          <w:rFonts w:ascii="Verdana" w:eastAsia="Calibri" w:hAnsi="Verdana"/>
          <w:sz w:val="20"/>
          <w:lang w:val="en-GB" w:eastAsia="en-US"/>
        </w:rPr>
        <w:t xml:space="preserve">in which case </w:t>
      </w:r>
      <w:r w:rsidRPr="00AA09AA">
        <w:rPr>
          <w:rFonts w:ascii="Verdana" w:eastAsia="Calibri" w:hAnsi="Verdana"/>
          <w:sz w:val="20"/>
          <w:lang w:val="en-GB" w:eastAsia="en-US"/>
        </w:rPr>
        <w:t>the programme aims at the wrong end of the market.</w:t>
      </w:r>
    </w:p>
    <w:p w:rsidR="00141104" w:rsidRPr="00AA09AA" w:rsidRDefault="00A374E5" w:rsidP="0026134A">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ABS are risky</w:t>
      </w:r>
      <w:r w:rsidR="00141104" w:rsidRPr="00AA09AA">
        <w:rPr>
          <w:rFonts w:ascii="Verdana" w:eastAsia="Calibri" w:hAnsi="Verdana"/>
          <w:sz w:val="20"/>
          <w:lang w:val="en-GB" w:eastAsia="en-US"/>
        </w:rPr>
        <w:t xml:space="preserve"> instruments because their components, individual loans, cannot really be traced back and assessed</w:t>
      </w:r>
      <w:r w:rsidRPr="00AA09AA">
        <w:rPr>
          <w:rFonts w:ascii="Verdana" w:eastAsia="Calibri" w:hAnsi="Verdana"/>
          <w:sz w:val="20"/>
          <w:lang w:val="en-GB" w:eastAsia="en-US"/>
        </w:rPr>
        <w:t xml:space="preserve">. Some of the risk will be transferred to the ECB. </w:t>
      </w:r>
    </w:p>
    <w:p w:rsidR="00A374E5" w:rsidRPr="00AA09AA" w:rsidRDefault="00141104" w:rsidP="0026134A">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The possibility of banks to sell loans </w:t>
      </w:r>
      <w:r w:rsidR="00A374E5" w:rsidRPr="00AA09AA">
        <w:rPr>
          <w:rFonts w:ascii="Verdana" w:eastAsia="Calibri" w:hAnsi="Verdana"/>
          <w:sz w:val="20"/>
          <w:lang w:val="en-GB" w:eastAsia="en-US"/>
        </w:rPr>
        <w:t xml:space="preserve">may encourage banks to take more risks, a feature less marked with covered bonds. </w:t>
      </w:r>
    </w:p>
    <w:p w:rsidR="00C94AF7" w:rsidRPr="00AA09AA" w:rsidRDefault="00A374E5" w:rsidP="007D6C33">
      <w:pPr>
        <w:pStyle w:val="EUPNormal"/>
      </w:pPr>
      <w:r w:rsidRPr="00AA09AA">
        <w:t xml:space="preserve">In the end, non-economic considerations explain both the lateness of the ECB decisions and the particular shape of the programmes.  </w:t>
      </w:r>
      <w:r w:rsidR="00707D3E" w:rsidRPr="00AA09AA">
        <w:br w:type="page"/>
      </w:r>
      <w:bookmarkStart w:id="12" w:name="_Toc337035337"/>
      <w:bookmarkStart w:id="13" w:name="_Toc337039281"/>
      <w:bookmarkStart w:id="14" w:name="_Toc337039551"/>
      <w:bookmarkStart w:id="15" w:name="_Toc337046851"/>
      <w:bookmarkStart w:id="16" w:name="_Toc337047176"/>
      <w:bookmarkStart w:id="17" w:name="_Toc303099923"/>
      <w:bookmarkEnd w:id="12"/>
      <w:bookmarkEnd w:id="13"/>
      <w:bookmarkEnd w:id="14"/>
      <w:bookmarkEnd w:id="15"/>
      <w:bookmarkEnd w:id="16"/>
    </w:p>
    <w:p w:rsidR="00707D3E" w:rsidRPr="00AA09AA" w:rsidRDefault="00707D3E" w:rsidP="00C000D7">
      <w:pPr>
        <w:pStyle w:val="StyleHeading1Verdana14ptBoldDarkBlueAllcaps"/>
      </w:pPr>
      <w:bookmarkStart w:id="18" w:name="_Toc398554021"/>
      <w:r w:rsidRPr="00AA09AA">
        <w:t xml:space="preserve">INTRODUCTION: </w:t>
      </w:r>
      <w:bookmarkStart w:id="19" w:name="_Toc337046853"/>
      <w:bookmarkStart w:id="20" w:name="_Toc337047178"/>
      <w:bookmarkEnd w:id="17"/>
      <w:bookmarkEnd w:id="19"/>
      <w:bookmarkEnd w:id="20"/>
      <w:r w:rsidR="009170EF" w:rsidRPr="00AA09AA">
        <w:t>Rationale for ecb action</w:t>
      </w:r>
      <w:bookmarkEnd w:id="18"/>
    </w:p>
    <w:p w:rsidR="009170EF" w:rsidRPr="00AA09AA" w:rsidRDefault="00C94AF7" w:rsidP="000E292F">
      <w:pPr>
        <w:spacing w:after="120" w:line="264" w:lineRule="auto"/>
        <w:rPr>
          <w:rFonts w:ascii="Verdana" w:hAnsi="Verdana"/>
          <w:sz w:val="20"/>
          <w:lang w:val="en-GB"/>
        </w:rPr>
      </w:pPr>
      <w:r w:rsidRPr="00AA09AA">
        <w:rPr>
          <w:rFonts w:ascii="Verdana" w:hAnsi="Verdana"/>
          <w:sz w:val="20"/>
          <w:lang w:val="en-GB"/>
        </w:rPr>
        <w:t>The Eurozone recovery is proving to be weak, weaker than predicted earlier by the ECB or the European Commission. Along with a strong euro, this has led to a significant decline in the rate of inflation, way</w:t>
      </w:r>
      <w:r w:rsidR="00B817BC" w:rsidRPr="00AA09AA">
        <w:rPr>
          <w:rFonts w:ascii="Verdana" w:hAnsi="Verdana"/>
          <w:sz w:val="20"/>
          <w:lang w:val="en-GB"/>
        </w:rPr>
        <w:t xml:space="preserve"> below the ECB’</w:t>
      </w:r>
      <w:r w:rsidR="009170EF" w:rsidRPr="00AA09AA">
        <w:rPr>
          <w:rFonts w:ascii="Verdana" w:hAnsi="Verdana"/>
          <w:sz w:val="20"/>
          <w:lang w:val="en-GB"/>
        </w:rPr>
        <w:t xml:space="preserve">s definition of price stability. Given that monetary policy actions take about one year to develop their effects, first on growth, next on inflation, today’s situation is the result of inaction one year ago and ever since. The announcements of June and September 2014 are designed to make up for time lost. </w:t>
      </w:r>
    </w:p>
    <w:p w:rsidR="00C94AF7" w:rsidRPr="00AA09AA" w:rsidRDefault="009170EF" w:rsidP="000E292F">
      <w:pPr>
        <w:spacing w:after="120" w:line="264" w:lineRule="auto"/>
        <w:rPr>
          <w:rFonts w:ascii="Verdana" w:hAnsi="Verdana"/>
          <w:sz w:val="20"/>
          <w:lang w:val="en-GB"/>
        </w:rPr>
      </w:pPr>
      <w:r w:rsidRPr="00AA09AA">
        <w:rPr>
          <w:rFonts w:ascii="Verdana" w:hAnsi="Verdana"/>
          <w:sz w:val="20"/>
          <w:lang w:val="en-GB"/>
        </w:rPr>
        <w:t>In both case</w:t>
      </w:r>
      <w:r w:rsidR="000C25B2" w:rsidRPr="00AA09AA">
        <w:rPr>
          <w:rFonts w:ascii="Verdana" w:hAnsi="Verdana"/>
          <w:sz w:val="20"/>
          <w:lang w:val="en-GB"/>
        </w:rPr>
        <w:t>s</w:t>
      </w:r>
      <w:r w:rsidRPr="00AA09AA">
        <w:rPr>
          <w:rFonts w:ascii="Verdana" w:hAnsi="Verdana"/>
          <w:sz w:val="20"/>
          <w:lang w:val="en-GB"/>
        </w:rPr>
        <w:t>, the ECB lowered its interest rates and indicated its intention to provide more liquidity to banks and financial markets. Figure 1 displays the three policy rates since 1999, along with the interbank overnight rate EONIA</w:t>
      </w:r>
      <w:r w:rsidR="00CF5D53">
        <w:rPr>
          <w:rStyle w:val="FootnoteReference"/>
          <w:rFonts w:ascii="Verdana" w:hAnsi="Verdana"/>
          <w:sz w:val="20"/>
          <w:lang w:val="en-GB"/>
        </w:rPr>
        <w:footnoteReference w:id="2"/>
      </w:r>
      <w:r w:rsidRPr="00AA09AA">
        <w:rPr>
          <w:rFonts w:ascii="Verdana" w:hAnsi="Verdana"/>
          <w:sz w:val="20"/>
          <w:lang w:val="en-GB"/>
        </w:rPr>
        <w:t>. Until the early 2009, the EONIA rate was entirely driven by the main refinancing rate</w:t>
      </w:r>
      <w:r w:rsidR="0032356D" w:rsidRPr="00AA09AA">
        <w:rPr>
          <w:rFonts w:ascii="Verdana" w:hAnsi="Verdana"/>
          <w:sz w:val="20"/>
          <w:lang w:val="en-GB"/>
        </w:rPr>
        <w:t xml:space="preserve">, as intended by the ECB. Since then, the interbank rate has followed instead the lower policy rate, the deposit rate. The main reason is that the ECB has provided banks with very large amounts of liquidity, in response to the crisis situation. </w:t>
      </w:r>
      <w:r w:rsidR="0037462A" w:rsidRPr="00AA09AA">
        <w:rPr>
          <w:rFonts w:ascii="Verdana" w:hAnsi="Verdana"/>
          <w:sz w:val="20"/>
          <w:lang w:val="en-GB"/>
        </w:rPr>
        <w:t>E</w:t>
      </w:r>
      <w:r w:rsidR="0032356D" w:rsidRPr="00AA09AA">
        <w:rPr>
          <w:rFonts w:ascii="Verdana" w:hAnsi="Verdana"/>
          <w:sz w:val="20"/>
          <w:lang w:val="en-GB"/>
        </w:rPr>
        <w:t>xtremely concerned by funding conditions</w:t>
      </w:r>
      <w:r w:rsidR="0037462A" w:rsidRPr="00AA09AA">
        <w:rPr>
          <w:rFonts w:ascii="Verdana" w:hAnsi="Verdana"/>
          <w:sz w:val="20"/>
          <w:lang w:val="en-GB"/>
        </w:rPr>
        <w:t xml:space="preserve">, banks </w:t>
      </w:r>
      <w:r w:rsidR="0032356D" w:rsidRPr="00AA09AA">
        <w:rPr>
          <w:rFonts w:ascii="Verdana" w:hAnsi="Verdana"/>
          <w:sz w:val="20"/>
          <w:lang w:val="en-GB"/>
        </w:rPr>
        <w:t xml:space="preserve">were eager to build up cash buffers, which </w:t>
      </w:r>
      <w:r w:rsidR="0037462A" w:rsidRPr="00AA09AA">
        <w:rPr>
          <w:rFonts w:ascii="Verdana" w:hAnsi="Verdana"/>
          <w:sz w:val="20"/>
          <w:lang w:val="en-GB"/>
        </w:rPr>
        <w:t>they</w:t>
      </w:r>
      <w:r w:rsidR="0032356D" w:rsidRPr="00AA09AA">
        <w:rPr>
          <w:rFonts w:ascii="Verdana" w:hAnsi="Verdana"/>
          <w:sz w:val="20"/>
          <w:lang w:val="en-GB"/>
        </w:rPr>
        <w:t xml:space="preserve"> largely deposited with the ECB. </w:t>
      </w:r>
      <w:r w:rsidR="00BF201B" w:rsidRPr="00AA09AA">
        <w:rPr>
          <w:rFonts w:ascii="Verdana" w:hAnsi="Verdana"/>
          <w:sz w:val="20"/>
          <w:lang w:val="en-GB"/>
        </w:rPr>
        <w:t>Deposits at the ECB have therefore become the default option. Even though t</w:t>
      </w:r>
      <w:r w:rsidR="0032356D" w:rsidRPr="00AA09AA">
        <w:rPr>
          <w:rFonts w:ascii="Verdana" w:hAnsi="Verdana"/>
          <w:sz w:val="20"/>
          <w:lang w:val="en-GB"/>
        </w:rPr>
        <w:t xml:space="preserve">he EONIA rate has lost some of its significance as the </w:t>
      </w:r>
      <w:r w:rsidR="00BF201B" w:rsidRPr="00AA09AA">
        <w:rPr>
          <w:rFonts w:ascii="Verdana" w:hAnsi="Verdana"/>
          <w:sz w:val="20"/>
          <w:lang w:val="en-GB"/>
        </w:rPr>
        <w:t>interbank market has broken down</w:t>
      </w:r>
      <w:r w:rsidR="0032356D" w:rsidRPr="00AA09AA">
        <w:rPr>
          <w:rFonts w:ascii="Verdana" w:hAnsi="Verdana"/>
          <w:sz w:val="20"/>
          <w:lang w:val="en-GB"/>
        </w:rPr>
        <w:t xml:space="preserve"> in line with the fragmentation of financial markets within the Eurozone</w:t>
      </w:r>
      <w:r w:rsidR="00BF201B" w:rsidRPr="00AA09AA">
        <w:rPr>
          <w:rFonts w:ascii="Verdana" w:hAnsi="Verdana"/>
          <w:sz w:val="20"/>
          <w:lang w:val="en-GB"/>
        </w:rPr>
        <w:t xml:space="preserve">, the fact is that </w:t>
      </w:r>
      <w:r w:rsidR="000C25B2" w:rsidRPr="00AA09AA">
        <w:rPr>
          <w:rFonts w:ascii="Verdana" w:hAnsi="Verdana"/>
          <w:sz w:val="20"/>
          <w:lang w:val="en-GB"/>
        </w:rPr>
        <w:t xml:space="preserve">the </w:t>
      </w:r>
      <w:r w:rsidR="00BF201B" w:rsidRPr="00AA09AA">
        <w:rPr>
          <w:rFonts w:ascii="Verdana" w:hAnsi="Verdana"/>
          <w:sz w:val="20"/>
          <w:lang w:val="en-GB"/>
        </w:rPr>
        <w:t>effective</w:t>
      </w:r>
      <w:r w:rsidR="000C25B2" w:rsidRPr="00AA09AA">
        <w:rPr>
          <w:rFonts w:ascii="Verdana" w:hAnsi="Verdana"/>
          <w:sz w:val="20"/>
          <w:lang w:val="en-GB"/>
        </w:rPr>
        <w:t xml:space="preserve"> cost of money for banks </w:t>
      </w:r>
      <w:r w:rsidR="0037462A" w:rsidRPr="00AA09AA">
        <w:rPr>
          <w:rFonts w:ascii="Verdana" w:hAnsi="Verdana"/>
          <w:sz w:val="20"/>
          <w:lang w:val="en-GB"/>
        </w:rPr>
        <w:t xml:space="preserve">in the core countries </w:t>
      </w:r>
      <w:r w:rsidR="000C25B2" w:rsidRPr="00AA09AA">
        <w:rPr>
          <w:rFonts w:ascii="Verdana" w:hAnsi="Verdana"/>
          <w:sz w:val="20"/>
          <w:lang w:val="en-GB"/>
        </w:rPr>
        <w:t xml:space="preserve">has fallen to close to 0% since late 2011. </w:t>
      </w:r>
    </w:p>
    <w:p w:rsidR="009170EF" w:rsidRPr="00AA09AA" w:rsidRDefault="009170EF" w:rsidP="000E292F">
      <w:pPr>
        <w:spacing w:after="120" w:line="264" w:lineRule="auto"/>
        <w:rPr>
          <w:rFonts w:ascii="Verdana" w:hAnsi="Verdana"/>
          <w:sz w:val="20"/>
          <w:lang w:val="en-GB"/>
        </w:rPr>
      </w:pPr>
    </w:p>
    <w:p w:rsidR="009170EF" w:rsidRPr="00AA09AA" w:rsidRDefault="00E2233D" w:rsidP="00C000D7">
      <w:pPr>
        <w:pStyle w:val="Caption"/>
      </w:pPr>
      <w:r w:rsidRPr="00AA09AA">
        <w:t xml:space="preserve">Figure </w:t>
      </w:r>
      <w:r w:rsidR="00460E72">
        <w:fldChar w:fldCharType="begin"/>
      </w:r>
      <w:r w:rsidR="007D6C33">
        <w:instrText xml:space="preserve"> SEQ Figure \* ARABIC </w:instrText>
      </w:r>
      <w:r w:rsidR="00460E72">
        <w:fldChar w:fldCharType="separate"/>
      </w:r>
      <w:r w:rsidR="00160323" w:rsidRPr="00AA09AA">
        <w:rPr>
          <w:noProof/>
        </w:rPr>
        <w:t>1</w:t>
      </w:r>
      <w:r w:rsidR="00460E72">
        <w:rPr>
          <w:noProof/>
        </w:rPr>
        <w:fldChar w:fldCharType="end"/>
      </w:r>
      <w:r w:rsidRPr="00AA09AA">
        <w:t>:</w:t>
      </w:r>
      <w:r w:rsidRPr="00AA09AA">
        <w:tab/>
        <w:t>ECB interest rates (January 1999 - September 2014)</w:t>
      </w:r>
    </w:p>
    <w:p w:rsidR="009170EF" w:rsidRPr="00AA09AA" w:rsidRDefault="009170EF" w:rsidP="000E292F">
      <w:pPr>
        <w:spacing w:after="120" w:line="264" w:lineRule="auto"/>
        <w:rPr>
          <w:rFonts w:ascii="Verdana" w:hAnsi="Verdana"/>
          <w:sz w:val="20"/>
          <w:lang w:val="en-GB"/>
        </w:rPr>
      </w:pPr>
      <w:r w:rsidRPr="00AA09AA">
        <w:rPr>
          <w:rFonts w:ascii="Verdana" w:hAnsi="Verdana"/>
          <w:noProof/>
          <w:sz w:val="20"/>
          <w:lang w:val="en-US" w:eastAsia="en-US"/>
        </w:rPr>
        <w:drawing>
          <wp:anchor distT="0" distB="0" distL="114300" distR="114300" simplePos="0" relativeHeight="251661312" behindDoc="0" locked="0" layoutInCell="1" allowOverlap="1">
            <wp:simplePos x="0" y="0"/>
            <wp:positionH relativeFrom="column">
              <wp:posOffset>-30480</wp:posOffset>
            </wp:positionH>
            <wp:positionV relativeFrom="paragraph">
              <wp:posOffset>26035</wp:posOffset>
            </wp:positionV>
            <wp:extent cx="3157220" cy="2387600"/>
            <wp:effectExtent l="25400" t="0" r="0" b="0"/>
            <wp:wrapTight wrapText="bothSides">
              <wp:wrapPolygon edited="0">
                <wp:start x="-174" y="0"/>
                <wp:lineTo x="-174" y="21370"/>
                <wp:lineTo x="21548" y="21370"/>
                <wp:lineTo x="21548" y="0"/>
                <wp:lineTo x="-17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57220" cy="2387600"/>
                    </a:xfrm>
                    <a:prstGeom prst="rect">
                      <a:avLst/>
                    </a:prstGeom>
                    <a:noFill/>
                    <a:ln w="9525">
                      <a:noFill/>
                      <a:miter lim="800000"/>
                      <a:headEnd/>
                      <a:tailEnd/>
                    </a:ln>
                  </pic:spPr>
                </pic:pic>
              </a:graphicData>
            </a:graphic>
          </wp:anchor>
        </w:drawing>
      </w: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sz w:val="20"/>
          <w:lang w:val="en-GB"/>
        </w:rPr>
      </w:pPr>
    </w:p>
    <w:p w:rsidR="009170EF" w:rsidRPr="00AA09AA" w:rsidRDefault="009170EF" w:rsidP="000E292F">
      <w:pPr>
        <w:spacing w:after="120" w:line="264" w:lineRule="auto"/>
        <w:rPr>
          <w:rFonts w:ascii="Verdana" w:hAnsi="Verdana"/>
          <w:b/>
          <w:sz w:val="16"/>
          <w:szCs w:val="16"/>
          <w:lang w:val="en-GB"/>
        </w:rPr>
      </w:pPr>
      <w:r w:rsidRPr="00AA09AA">
        <w:rPr>
          <w:rFonts w:ascii="Verdana" w:hAnsi="Verdana"/>
          <w:b/>
          <w:sz w:val="16"/>
          <w:szCs w:val="16"/>
          <w:lang w:val="en-GB"/>
        </w:rPr>
        <w:t>Source:</w:t>
      </w:r>
      <w:r w:rsidR="00E2233D" w:rsidRPr="00AA09AA">
        <w:rPr>
          <w:rFonts w:ascii="Verdana" w:hAnsi="Verdana"/>
          <w:b/>
          <w:sz w:val="16"/>
          <w:szCs w:val="16"/>
          <w:lang w:val="en-GB"/>
        </w:rPr>
        <w:tab/>
      </w:r>
      <w:r w:rsidRPr="00AA09AA">
        <w:rPr>
          <w:rFonts w:ascii="Verdana" w:hAnsi="Verdana"/>
          <w:b/>
          <w:sz w:val="16"/>
          <w:szCs w:val="16"/>
          <w:lang w:val="en-GB"/>
        </w:rPr>
        <w:t>ECB</w:t>
      </w:r>
    </w:p>
    <w:p w:rsidR="000C25B2" w:rsidRPr="00AA09AA" w:rsidRDefault="000C25B2" w:rsidP="000E292F">
      <w:pPr>
        <w:spacing w:after="120" w:line="264" w:lineRule="auto"/>
        <w:rPr>
          <w:rFonts w:ascii="Verdana" w:hAnsi="Verdana"/>
          <w:sz w:val="20"/>
          <w:lang w:val="en-GB"/>
        </w:rPr>
      </w:pPr>
    </w:p>
    <w:p w:rsidR="005145C1" w:rsidRPr="00AA09AA" w:rsidRDefault="00561549" w:rsidP="000E292F">
      <w:pPr>
        <w:spacing w:after="120" w:line="264" w:lineRule="auto"/>
        <w:rPr>
          <w:rFonts w:ascii="Verdana" w:hAnsi="Verdana"/>
          <w:sz w:val="20"/>
          <w:lang w:val="en-GB"/>
        </w:rPr>
      </w:pPr>
      <w:r w:rsidRPr="00AA09AA">
        <w:rPr>
          <w:rFonts w:ascii="Verdana" w:hAnsi="Verdana"/>
          <w:sz w:val="20"/>
          <w:lang w:val="en-GB"/>
        </w:rPr>
        <w:t>Like other major central banks, the E</w:t>
      </w:r>
      <w:r w:rsidR="008000C4" w:rsidRPr="00AA09AA">
        <w:rPr>
          <w:rFonts w:ascii="Verdana" w:hAnsi="Verdana"/>
          <w:sz w:val="20"/>
          <w:lang w:val="en-GB"/>
        </w:rPr>
        <w:t>CB</w:t>
      </w:r>
      <w:r w:rsidRPr="00AA09AA">
        <w:rPr>
          <w:rFonts w:ascii="Verdana" w:hAnsi="Verdana"/>
          <w:sz w:val="20"/>
          <w:lang w:val="en-GB"/>
        </w:rPr>
        <w:t xml:space="preserve"> finds itself caught at the zero lower bound with the need to pursue an expansionary policy. The solution adopted elsewhere (USA, UK, Japan) consisted of large injections of liquidity. The ECB already went in</w:t>
      </w:r>
      <w:r w:rsidR="005145C1" w:rsidRPr="00AA09AA">
        <w:rPr>
          <w:rFonts w:ascii="Verdana" w:hAnsi="Verdana"/>
          <w:sz w:val="20"/>
          <w:lang w:val="en-GB"/>
        </w:rPr>
        <w:t>to</w:t>
      </w:r>
      <w:r w:rsidRPr="00AA09AA">
        <w:rPr>
          <w:rFonts w:ascii="Verdana" w:hAnsi="Verdana"/>
          <w:sz w:val="20"/>
          <w:lang w:val="en-GB"/>
        </w:rPr>
        <w:t xml:space="preserve"> this direction with previous programmes (S</w:t>
      </w:r>
      <w:r w:rsidR="004216FB">
        <w:rPr>
          <w:rFonts w:ascii="Verdana" w:hAnsi="Verdana"/>
          <w:sz w:val="20"/>
          <w:lang w:val="en-GB"/>
        </w:rPr>
        <w:t>ecurities Markets Programme</w:t>
      </w:r>
      <w:r w:rsidR="00AD1638">
        <w:rPr>
          <w:rFonts w:ascii="Verdana" w:hAnsi="Verdana"/>
          <w:sz w:val="20"/>
          <w:lang w:val="en-GB"/>
        </w:rPr>
        <w:t xml:space="preserve"> (SMP)</w:t>
      </w:r>
      <w:r w:rsidRPr="00AA09AA">
        <w:rPr>
          <w:rFonts w:ascii="Verdana" w:hAnsi="Verdana"/>
          <w:sz w:val="20"/>
          <w:lang w:val="en-GB"/>
        </w:rPr>
        <w:t>, Covered Bond Purchase</w:t>
      </w:r>
      <w:r w:rsidR="00AD1638">
        <w:rPr>
          <w:rFonts w:ascii="Verdana" w:hAnsi="Verdana"/>
          <w:sz w:val="20"/>
          <w:lang w:val="en-GB"/>
        </w:rPr>
        <w:t xml:space="preserve"> Programmes (CBPP)</w:t>
      </w:r>
      <w:r w:rsidRPr="00AA09AA">
        <w:rPr>
          <w:rFonts w:ascii="Verdana" w:hAnsi="Verdana"/>
          <w:sz w:val="20"/>
          <w:lang w:val="en-GB"/>
        </w:rPr>
        <w:t xml:space="preserve">, </w:t>
      </w:r>
      <w:r w:rsidR="00AD1638">
        <w:rPr>
          <w:rFonts w:ascii="Verdana" w:hAnsi="Verdana"/>
          <w:sz w:val="20"/>
          <w:lang w:val="en-GB"/>
        </w:rPr>
        <w:t>Long</w:t>
      </w:r>
      <w:r w:rsidR="001B03C2">
        <w:rPr>
          <w:rFonts w:ascii="Verdana" w:hAnsi="Verdana"/>
          <w:sz w:val="20"/>
          <w:lang w:val="en-GB"/>
        </w:rPr>
        <w:t xml:space="preserve"> T</w:t>
      </w:r>
      <w:r w:rsidR="00AD1638">
        <w:rPr>
          <w:rFonts w:ascii="Verdana" w:hAnsi="Verdana"/>
          <w:sz w:val="20"/>
          <w:lang w:val="en-GB"/>
        </w:rPr>
        <w:t>erm Refinancing Operations (</w:t>
      </w:r>
      <w:r w:rsidRPr="00AA09AA">
        <w:rPr>
          <w:rFonts w:ascii="Verdana" w:hAnsi="Verdana"/>
          <w:sz w:val="20"/>
          <w:lang w:val="en-GB"/>
        </w:rPr>
        <w:t>LTRO)</w:t>
      </w:r>
      <w:r w:rsidR="00AD1638">
        <w:rPr>
          <w:rFonts w:ascii="Verdana" w:hAnsi="Verdana"/>
          <w:sz w:val="20"/>
          <w:lang w:val="en-GB"/>
        </w:rPr>
        <w:t>)</w:t>
      </w:r>
      <w:r w:rsidR="005145C1" w:rsidRPr="00AA09AA">
        <w:rPr>
          <w:rFonts w:ascii="Verdana" w:hAnsi="Verdana"/>
          <w:sz w:val="20"/>
          <w:lang w:val="en-GB"/>
        </w:rPr>
        <w:t xml:space="preserve"> but for relatively small amounts and sometime even sterilized these interventions to prevent an increase in liquidity. </w:t>
      </w:r>
    </w:p>
    <w:p w:rsidR="000D65FF" w:rsidRPr="00AA09AA" w:rsidRDefault="005145C1" w:rsidP="000E292F">
      <w:pPr>
        <w:spacing w:after="120" w:line="264" w:lineRule="auto"/>
        <w:rPr>
          <w:rFonts w:ascii="Verdana" w:hAnsi="Verdana"/>
          <w:sz w:val="20"/>
          <w:lang w:val="en-GB"/>
        </w:rPr>
      </w:pPr>
      <w:r w:rsidRPr="00AA09AA">
        <w:rPr>
          <w:rFonts w:ascii="Verdana" w:hAnsi="Verdana"/>
          <w:sz w:val="20"/>
          <w:lang w:val="en-GB"/>
        </w:rPr>
        <w:t xml:space="preserve">Quantitative easing (QE), as these liquidity creating programmes are called, has taken </w:t>
      </w:r>
      <w:r w:rsidR="008000C4" w:rsidRPr="00AA09AA">
        <w:rPr>
          <w:rFonts w:ascii="Verdana" w:hAnsi="Verdana"/>
          <w:sz w:val="20"/>
          <w:lang w:val="en-GB"/>
        </w:rPr>
        <w:t>diver</w:t>
      </w:r>
      <w:r w:rsidRPr="00AA09AA">
        <w:rPr>
          <w:rFonts w:ascii="Verdana" w:hAnsi="Verdana"/>
          <w:sz w:val="20"/>
          <w:lang w:val="en-GB"/>
        </w:rPr>
        <w:t>s</w:t>
      </w:r>
      <w:r w:rsidR="008000C4" w:rsidRPr="00AA09AA">
        <w:rPr>
          <w:rFonts w:ascii="Verdana" w:hAnsi="Verdana"/>
          <w:sz w:val="20"/>
          <w:lang w:val="en-GB"/>
        </w:rPr>
        <w:t>e</w:t>
      </w:r>
      <w:r w:rsidRPr="00AA09AA">
        <w:rPr>
          <w:rFonts w:ascii="Verdana" w:hAnsi="Verdana"/>
          <w:sz w:val="20"/>
          <w:lang w:val="en-GB"/>
        </w:rPr>
        <w:t xml:space="preserve"> forms in various countries and over time.</w:t>
      </w:r>
      <w:r w:rsidR="00C46966" w:rsidRPr="00AA09AA">
        <w:rPr>
          <w:rFonts w:ascii="Verdana" w:hAnsi="Verdana"/>
          <w:sz w:val="20"/>
          <w:lang w:val="en-GB"/>
        </w:rPr>
        <w:t xml:space="preserve"> The common feature is an ex ante commitment to create a pre-set volume of liquidity over a given horizon (e.g. per month)</w:t>
      </w:r>
      <w:r w:rsidR="00F32E52" w:rsidRPr="00AA09AA">
        <w:rPr>
          <w:rFonts w:ascii="Verdana" w:hAnsi="Verdana"/>
          <w:sz w:val="20"/>
          <w:lang w:val="en-GB"/>
        </w:rPr>
        <w:t xml:space="preserve"> through asset purchases</w:t>
      </w:r>
      <w:r w:rsidR="00C46966" w:rsidRPr="00AA09AA">
        <w:rPr>
          <w:rFonts w:ascii="Verdana" w:hAnsi="Verdana"/>
          <w:sz w:val="20"/>
          <w:lang w:val="en-GB"/>
        </w:rPr>
        <w:t>.</w:t>
      </w:r>
      <w:r w:rsidR="00F32E52" w:rsidRPr="00AA09AA">
        <w:rPr>
          <w:rFonts w:ascii="Verdana" w:hAnsi="Verdana"/>
          <w:sz w:val="20"/>
          <w:lang w:val="en-GB"/>
        </w:rPr>
        <w:t xml:space="preserve"> While the bulk of these purchases concerned public bonds, specific private securities have been targeted in the US and in the UK. In a</w:t>
      </w:r>
      <w:r w:rsidR="000D65FF" w:rsidRPr="00AA09AA">
        <w:rPr>
          <w:rFonts w:ascii="Verdana" w:hAnsi="Verdana"/>
          <w:sz w:val="20"/>
          <w:lang w:val="en-GB"/>
        </w:rPr>
        <w:t>ddition, the Bank of England r</w:t>
      </w:r>
      <w:r w:rsidR="0000715D" w:rsidRPr="00AA09AA">
        <w:rPr>
          <w:rFonts w:ascii="Verdana" w:hAnsi="Verdana"/>
          <w:sz w:val="20"/>
          <w:lang w:val="en-GB"/>
        </w:rPr>
        <w:t>an</w:t>
      </w:r>
      <w:r w:rsidR="000D65FF" w:rsidRPr="00AA09AA">
        <w:rPr>
          <w:rFonts w:ascii="Verdana" w:hAnsi="Verdana"/>
          <w:sz w:val="20"/>
          <w:lang w:val="en-GB"/>
        </w:rPr>
        <w:t xml:space="preserve"> a special programme, Funding for Lending, that involved lending to financial institutions in relation to their loan activity, and even lending to non-banks that offer loans to SMEs</w:t>
      </w:r>
      <w:r w:rsidR="00AD1638">
        <w:rPr>
          <w:rFonts w:ascii="Verdana" w:hAnsi="Verdana"/>
          <w:sz w:val="20"/>
          <w:lang w:val="en-GB"/>
        </w:rPr>
        <w:t xml:space="preserve"> (Small and Medium Enterprises)</w:t>
      </w:r>
      <w:r w:rsidR="000D65FF" w:rsidRPr="00AA09AA">
        <w:rPr>
          <w:rFonts w:ascii="Verdana" w:hAnsi="Verdana"/>
          <w:sz w:val="20"/>
          <w:lang w:val="en-GB"/>
        </w:rPr>
        <w:t xml:space="preserve">. </w:t>
      </w:r>
    </w:p>
    <w:p w:rsidR="00764DC5" w:rsidRPr="00AA09AA" w:rsidRDefault="000D65FF" w:rsidP="000E292F">
      <w:pPr>
        <w:spacing w:after="120" w:line="264" w:lineRule="auto"/>
        <w:rPr>
          <w:rFonts w:ascii="Verdana" w:hAnsi="Verdana"/>
          <w:sz w:val="20"/>
          <w:lang w:val="en-GB"/>
        </w:rPr>
      </w:pPr>
      <w:r w:rsidRPr="00AA09AA">
        <w:rPr>
          <w:rFonts w:ascii="Verdana" w:hAnsi="Verdana"/>
          <w:sz w:val="20"/>
          <w:lang w:val="en-GB"/>
        </w:rPr>
        <w:t>There is some debate over the effectiveness of QE. Research at the Federal Reserve reports that QE has had a material effect on the economy (</w:t>
      </w:r>
      <w:r w:rsidR="00724F8E" w:rsidRPr="00AA09AA">
        <w:rPr>
          <w:rFonts w:ascii="Verdana" w:hAnsi="Verdana"/>
          <w:sz w:val="20"/>
          <w:lang w:val="en-GB"/>
        </w:rPr>
        <w:t>Christensen and Rudebusch, 2012</w:t>
      </w:r>
      <w:r w:rsidRPr="00AA09AA">
        <w:rPr>
          <w:rFonts w:ascii="Verdana" w:hAnsi="Verdana"/>
          <w:sz w:val="20"/>
          <w:lang w:val="en-GB"/>
        </w:rPr>
        <w:t>). Independent research reports that QE has lowered borrowing costs (</w:t>
      </w:r>
      <w:r w:rsidR="00724F8E" w:rsidRPr="00AA09AA">
        <w:rPr>
          <w:rFonts w:ascii="Verdana" w:hAnsi="Verdana"/>
          <w:sz w:val="20"/>
          <w:szCs w:val="22"/>
          <w:lang w:val="en-GB"/>
        </w:rPr>
        <w:t>Krishnamurthy and Vissing-Jorgensen, 2011)</w:t>
      </w:r>
      <w:r w:rsidRPr="00AA09AA">
        <w:rPr>
          <w:rFonts w:ascii="Verdana" w:hAnsi="Verdana"/>
          <w:sz w:val="20"/>
          <w:lang w:val="en-GB"/>
        </w:rPr>
        <w:t xml:space="preserve">. </w:t>
      </w:r>
      <w:r w:rsidR="00724F8E" w:rsidRPr="00AA09AA">
        <w:rPr>
          <w:rFonts w:ascii="Verdana" w:hAnsi="Verdana"/>
          <w:sz w:val="20"/>
          <w:lang w:val="en-GB"/>
        </w:rPr>
        <w:t xml:space="preserve">Similar results are available for </w:t>
      </w:r>
      <w:r w:rsidRPr="00AA09AA">
        <w:rPr>
          <w:rFonts w:ascii="Verdana" w:hAnsi="Verdana"/>
          <w:sz w:val="20"/>
          <w:lang w:val="en-GB"/>
        </w:rPr>
        <w:t>the UK</w:t>
      </w:r>
      <w:r w:rsidR="00724F8E" w:rsidRPr="00AA09AA">
        <w:rPr>
          <w:rFonts w:ascii="Verdana" w:hAnsi="Verdana"/>
          <w:sz w:val="20"/>
          <w:lang w:val="en-GB"/>
        </w:rPr>
        <w:t xml:space="preserve"> (Kapetanios et al. 2012)</w:t>
      </w:r>
      <w:r w:rsidRPr="00AA09AA">
        <w:rPr>
          <w:rFonts w:ascii="Verdana" w:hAnsi="Verdana"/>
          <w:sz w:val="20"/>
          <w:lang w:val="en-GB"/>
        </w:rPr>
        <w:t xml:space="preserve">, </w:t>
      </w:r>
      <w:r w:rsidR="00724F8E" w:rsidRPr="00AA09AA">
        <w:rPr>
          <w:rFonts w:ascii="Verdana" w:hAnsi="Verdana"/>
          <w:sz w:val="20"/>
          <w:lang w:val="en-GB"/>
        </w:rPr>
        <w:t xml:space="preserve">with additional </w:t>
      </w:r>
      <w:r w:rsidR="00AD1638">
        <w:rPr>
          <w:rFonts w:ascii="Verdana" w:hAnsi="Verdana"/>
          <w:sz w:val="20"/>
          <w:lang w:val="en-GB"/>
        </w:rPr>
        <w:t>informal evidence suggesting</w:t>
      </w:r>
      <w:r w:rsidRPr="00AA09AA">
        <w:rPr>
          <w:rFonts w:ascii="Verdana" w:hAnsi="Verdana"/>
          <w:sz w:val="20"/>
          <w:lang w:val="en-GB"/>
        </w:rPr>
        <w:t xml:space="preserve"> that the Funding for Lending scheme is playing a role in the recovery. </w:t>
      </w:r>
      <w:r w:rsidR="00724F8E" w:rsidRPr="00AA09AA">
        <w:rPr>
          <w:rFonts w:ascii="Verdana" w:hAnsi="Verdana"/>
          <w:sz w:val="20"/>
          <w:lang w:val="en-GB"/>
        </w:rPr>
        <w:t xml:space="preserve">A review of both experiments is Baumeister and Benati (2013). </w:t>
      </w:r>
    </w:p>
    <w:p w:rsidR="00C13357" w:rsidRPr="00AA09AA" w:rsidRDefault="00672A5C" w:rsidP="000E292F">
      <w:pPr>
        <w:spacing w:after="120" w:line="264" w:lineRule="auto"/>
        <w:rPr>
          <w:rFonts w:ascii="Verdana" w:hAnsi="Verdana"/>
          <w:sz w:val="20"/>
          <w:lang w:val="en-GB"/>
        </w:rPr>
      </w:pPr>
      <w:r w:rsidRPr="00AA09AA">
        <w:rPr>
          <w:rFonts w:ascii="Verdana" w:hAnsi="Verdana"/>
          <w:sz w:val="20"/>
          <w:lang w:val="en-GB"/>
        </w:rPr>
        <w:t xml:space="preserve">The ECB response combines a lowering of its interest rates and three programmes: Targeted Long Term </w:t>
      </w:r>
      <w:r w:rsidR="001B03C2">
        <w:rPr>
          <w:rFonts w:ascii="Verdana" w:hAnsi="Verdana"/>
          <w:sz w:val="20"/>
          <w:lang w:val="en-GB"/>
        </w:rPr>
        <w:t>Refinancing</w:t>
      </w:r>
      <w:r w:rsidRPr="00AA09AA">
        <w:rPr>
          <w:rFonts w:ascii="Verdana" w:hAnsi="Verdana"/>
          <w:sz w:val="20"/>
          <w:lang w:val="en-GB"/>
        </w:rPr>
        <w:t xml:space="preserve"> Operations (TLTRO), purchases of Asset Backed Securities (ABS) and of covered bonds. Section 2 looks at the interest rate decision, Section 3</w:t>
      </w:r>
      <w:r w:rsidR="0000715D" w:rsidRPr="00AA09AA">
        <w:rPr>
          <w:rFonts w:ascii="Verdana" w:hAnsi="Verdana"/>
          <w:sz w:val="20"/>
          <w:lang w:val="en-GB"/>
        </w:rPr>
        <w:t xml:space="preserve"> examines the</w:t>
      </w:r>
      <w:r w:rsidR="008325FA" w:rsidRPr="00AA09AA">
        <w:rPr>
          <w:rFonts w:ascii="Verdana" w:hAnsi="Verdana"/>
          <w:sz w:val="20"/>
          <w:lang w:val="en-GB"/>
        </w:rPr>
        <w:t xml:space="preserve"> liquidity programmes</w:t>
      </w:r>
      <w:r w:rsidR="003D6708" w:rsidRPr="00AA09AA">
        <w:rPr>
          <w:rFonts w:ascii="Verdana" w:hAnsi="Verdana"/>
          <w:sz w:val="20"/>
          <w:lang w:val="en-GB"/>
        </w:rPr>
        <w:t>. The difference between the ECB programmes and QE elsewhere is developed in Section 5.</w:t>
      </w:r>
      <w:r w:rsidR="008325FA" w:rsidRPr="00AA09AA">
        <w:rPr>
          <w:rFonts w:ascii="Verdana" w:hAnsi="Verdana"/>
          <w:sz w:val="20"/>
          <w:lang w:val="en-GB"/>
        </w:rPr>
        <w:t xml:space="preserve"> Section 4 offers some conclusions. </w:t>
      </w:r>
    </w:p>
    <w:p w:rsidR="00C13357" w:rsidRPr="00AA09AA" w:rsidRDefault="00C13357" w:rsidP="000E292F">
      <w:pPr>
        <w:spacing w:after="120" w:line="264" w:lineRule="auto"/>
        <w:rPr>
          <w:rFonts w:ascii="Verdana" w:hAnsi="Verdana"/>
          <w:sz w:val="20"/>
          <w:lang w:val="en-GB"/>
        </w:rPr>
      </w:pPr>
    </w:p>
    <w:p w:rsidR="0086100F" w:rsidRPr="00AA09AA" w:rsidRDefault="0086100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264" w:lineRule="auto"/>
        <w:jc w:val="left"/>
        <w:rPr>
          <w:rFonts w:ascii="Verdana" w:hAnsi="Verdana"/>
          <w:b/>
          <w:bCs/>
          <w:caps/>
          <w:color w:val="000080"/>
          <w:kern w:val="28"/>
          <w:sz w:val="28"/>
          <w:lang w:val="en-GB"/>
        </w:rPr>
      </w:pPr>
      <w:r w:rsidRPr="00AA09AA">
        <w:rPr>
          <w:lang w:val="en-GB"/>
        </w:rPr>
        <w:br w:type="page"/>
      </w:r>
    </w:p>
    <w:p w:rsidR="00C13357" w:rsidRPr="00AA09AA" w:rsidRDefault="0086100F" w:rsidP="00C000D7">
      <w:pPr>
        <w:pStyle w:val="StyleHeading1Verdana14ptBoldDarkBlueAllcaps"/>
      </w:pPr>
      <w:bookmarkStart w:id="21" w:name="_Toc398554022"/>
      <w:r w:rsidRPr="00AA09AA">
        <w:t>OBJECTIVES</w:t>
      </w:r>
      <w:bookmarkEnd w:id="21"/>
      <w:r w:rsidRPr="00AA09AA">
        <w:t xml:space="preserve"> </w:t>
      </w:r>
    </w:p>
    <w:p w:rsidR="00C13357" w:rsidRPr="00AA09AA" w:rsidRDefault="00C13357" w:rsidP="00BA5544">
      <w:pPr>
        <w:spacing w:after="60" w:line="264" w:lineRule="auto"/>
        <w:rPr>
          <w:rFonts w:ascii="Verdana" w:hAnsi="Verdana"/>
          <w:sz w:val="20"/>
          <w:lang w:val="en-GB"/>
        </w:rPr>
      </w:pPr>
      <w:r w:rsidRPr="00AA09AA">
        <w:rPr>
          <w:rFonts w:ascii="Verdana" w:hAnsi="Verdana"/>
          <w:sz w:val="20"/>
          <w:lang w:val="en-GB"/>
        </w:rPr>
        <w:t>With inflation significant below the “close to but below 2%” objective, the ECB is effectively obligated to push it up. Inflation is driven by three main factors:</w:t>
      </w:r>
    </w:p>
    <w:p w:rsidR="00C13357" w:rsidRPr="00AA09AA" w:rsidRDefault="00C13357" w:rsidP="00BA5544">
      <w:pPr>
        <w:pStyle w:val="ListParagraph"/>
        <w:numPr>
          <w:ilvl w:val="0"/>
          <w:numId w:val="46"/>
        </w:numPr>
        <w:spacing w:after="40" w:line="264" w:lineRule="auto"/>
        <w:ind w:left="714" w:hanging="357"/>
        <w:contextualSpacing w:val="0"/>
        <w:rPr>
          <w:rFonts w:ascii="Verdana" w:hAnsi="Verdana"/>
          <w:sz w:val="20"/>
          <w:lang w:val="en-GB"/>
        </w:rPr>
      </w:pPr>
      <w:r w:rsidRPr="00AA09AA">
        <w:rPr>
          <w:rFonts w:ascii="Verdana" w:hAnsi="Verdana"/>
          <w:sz w:val="20"/>
          <w:lang w:val="en-GB"/>
        </w:rPr>
        <w:t xml:space="preserve">The activity level </w:t>
      </w:r>
    </w:p>
    <w:p w:rsidR="00C13357" w:rsidRPr="00AA09AA" w:rsidRDefault="00C13357" w:rsidP="00BA5544">
      <w:pPr>
        <w:pStyle w:val="ListParagraph"/>
        <w:numPr>
          <w:ilvl w:val="0"/>
          <w:numId w:val="46"/>
        </w:numPr>
        <w:spacing w:after="40" w:line="264" w:lineRule="auto"/>
        <w:ind w:left="714" w:hanging="357"/>
        <w:contextualSpacing w:val="0"/>
        <w:rPr>
          <w:rFonts w:ascii="Verdana" w:hAnsi="Verdana"/>
          <w:sz w:val="20"/>
          <w:lang w:val="en-GB"/>
        </w:rPr>
      </w:pPr>
      <w:r w:rsidRPr="00AA09AA">
        <w:rPr>
          <w:rFonts w:ascii="Verdana" w:hAnsi="Verdana"/>
          <w:sz w:val="20"/>
          <w:lang w:val="en-GB"/>
        </w:rPr>
        <w:t>The exchange rate</w:t>
      </w:r>
    </w:p>
    <w:p w:rsidR="00C13357" w:rsidRPr="00AA09AA" w:rsidRDefault="00C13357" w:rsidP="00C000D7">
      <w:pPr>
        <w:pStyle w:val="ListParagraph"/>
        <w:numPr>
          <w:ilvl w:val="0"/>
          <w:numId w:val="46"/>
        </w:numPr>
        <w:spacing w:after="120" w:line="264" w:lineRule="auto"/>
        <w:rPr>
          <w:rFonts w:ascii="Verdana" w:hAnsi="Verdana"/>
          <w:sz w:val="20"/>
          <w:lang w:val="en-GB"/>
        </w:rPr>
      </w:pPr>
      <w:r w:rsidRPr="00AA09AA">
        <w:rPr>
          <w:rFonts w:ascii="Verdana" w:hAnsi="Verdana"/>
          <w:sz w:val="20"/>
          <w:lang w:val="en-GB"/>
        </w:rPr>
        <w:t>Inflation expectations.</w:t>
      </w:r>
    </w:p>
    <w:p w:rsidR="00BB5DD9" w:rsidRPr="00AA09AA" w:rsidRDefault="00746F3A" w:rsidP="000E292F">
      <w:pPr>
        <w:spacing w:after="120" w:line="264" w:lineRule="auto"/>
        <w:rPr>
          <w:rFonts w:ascii="Verdana" w:hAnsi="Verdana"/>
          <w:sz w:val="20"/>
          <w:lang w:val="en-GB"/>
        </w:rPr>
      </w:pPr>
      <w:r w:rsidRPr="00AA09AA">
        <w:rPr>
          <w:rFonts w:ascii="Verdana" w:hAnsi="Verdana"/>
          <w:sz w:val="20"/>
          <w:lang w:val="en-GB"/>
        </w:rPr>
        <w:t>The question is how the ECB can influence these factors.</w:t>
      </w:r>
    </w:p>
    <w:p w:rsidR="00BB5DD9" w:rsidRPr="00AA09AA" w:rsidRDefault="00BB5DD9" w:rsidP="00BA5544">
      <w:pPr>
        <w:pStyle w:val="EUPHeading2"/>
      </w:pPr>
      <w:bookmarkStart w:id="22" w:name="_Toc398554023"/>
      <w:r w:rsidRPr="00AA09AA">
        <w:t>Achieving a self-sustained recovery</w:t>
      </w:r>
      <w:bookmarkEnd w:id="22"/>
    </w:p>
    <w:p w:rsidR="007F458D" w:rsidRPr="00AA09AA" w:rsidRDefault="007F458D" w:rsidP="000E292F">
      <w:pPr>
        <w:spacing w:after="120" w:line="264" w:lineRule="auto"/>
        <w:rPr>
          <w:rFonts w:ascii="Verdana" w:hAnsi="Verdana"/>
          <w:sz w:val="20"/>
          <w:lang w:val="en-GB"/>
        </w:rPr>
      </w:pPr>
      <w:r w:rsidRPr="00AA09AA">
        <w:rPr>
          <w:rFonts w:ascii="Verdana" w:hAnsi="Verdana"/>
          <w:sz w:val="20"/>
          <w:lang w:val="en-GB"/>
        </w:rPr>
        <w:t>A strong regularity, which goes not under name of Phillips curve, is that strong growth leads to declining unemployment and tighter labour market conditions. This then encourages faster wage growth. Facing rising labour costs, firms raise prices faster. Obviously, the process goes in reverse in the event of a recession, as we see since 2012.</w:t>
      </w:r>
    </w:p>
    <w:p w:rsidR="00746F3A" w:rsidRPr="00AA09AA" w:rsidRDefault="007760F6" w:rsidP="000E292F">
      <w:pPr>
        <w:spacing w:after="120" w:line="264" w:lineRule="auto"/>
        <w:rPr>
          <w:rFonts w:ascii="Verdana" w:hAnsi="Verdana"/>
          <w:sz w:val="20"/>
          <w:lang w:val="en-GB"/>
        </w:rPr>
      </w:pPr>
      <w:r w:rsidRPr="00AA09AA">
        <w:rPr>
          <w:rFonts w:ascii="Verdana" w:hAnsi="Verdana"/>
          <w:sz w:val="20"/>
          <w:lang w:val="en-GB"/>
        </w:rPr>
        <w:t>T</w:t>
      </w:r>
      <w:r w:rsidR="00844F5C" w:rsidRPr="00AA09AA">
        <w:rPr>
          <w:rFonts w:ascii="Verdana" w:hAnsi="Verdana"/>
          <w:sz w:val="20"/>
          <w:lang w:val="en-GB"/>
        </w:rPr>
        <w:t>he main channel of monetary policy is lending to the private sector. Under normal circumstances, this is don</w:t>
      </w:r>
      <w:r w:rsidR="00406C3F" w:rsidRPr="00AA09AA">
        <w:rPr>
          <w:rFonts w:ascii="Verdana" w:hAnsi="Verdana"/>
          <w:sz w:val="20"/>
          <w:lang w:val="en-GB"/>
        </w:rPr>
        <w:t>e</w:t>
      </w:r>
      <w:r w:rsidR="00844F5C" w:rsidRPr="00AA09AA">
        <w:rPr>
          <w:rFonts w:ascii="Verdana" w:hAnsi="Verdana"/>
          <w:sz w:val="20"/>
          <w:lang w:val="en-GB"/>
        </w:rPr>
        <w:t xml:space="preserve"> by lowering the interest rat</w:t>
      </w:r>
      <w:r w:rsidR="00406C3F" w:rsidRPr="00AA09AA">
        <w:rPr>
          <w:rFonts w:ascii="Verdana" w:hAnsi="Verdana"/>
          <w:sz w:val="20"/>
          <w:lang w:val="en-GB"/>
        </w:rPr>
        <w:t>e to en</w:t>
      </w:r>
      <w:r w:rsidR="00844F5C" w:rsidRPr="00AA09AA">
        <w:rPr>
          <w:rFonts w:ascii="Verdana" w:hAnsi="Verdana"/>
          <w:sz w:val="20"/>
          <w:lang w:val="en-GB"/>
        </w:rPr>
        <w:t>courage demand for loans by households and firms, but circumstances are not normal. With the interest rates at zero or less, QE aims at encouraging banks and other lenders (insurance companies, investment funds) to expand loans. The idea is that abundant liquidity should lead to easier lending conditions,</w:t>
      </w:r>
      <w:r w:rsidR="00406C3F" w:rsidRPr="00AA09AA">
        <w:rPr>
          <w:rFonts w:ascii="Verdana" w:hAnsi="Verdana"/>
          <w:sz w:val="20"/>
          <w:lang w:val="en-GB"/>
        </w:rPr>
        <w:t xml:space="preserve"> such as</w:t>
      </w:r>
      <w:r w:rsidR="00844F5C" w:rsidRPr="00AA09AA">
        <w:rPr>
          <w:rFonts w:ascii="Verdana" w:hAnsi="Verdana"/>
          <w:sz w:val="20"/>
          <w:lang w:val="en-GB"/>
        </w:rPr>
        <w:t xml:space="preserve"> relaxing terms of payments and eligibility criteria. </w:t>
      </w:r>
    </w:p>
    <w:p w:rsidR="0007091C" w:rsidRPr="00AA09AA" w:rsidRDefault="00746F3A" w:rsidP="000E292F">
      <w:pPr>
        <w:spacing w:after="120" w:line="264" w:lineRule="auto"/>
        <w:rPr>
          <w:rFonts w:ascii="Verdana" w:hAnsi="Verdana"/>
          <w:sz w:val="20"/>
          <w:lang w:val="en-GB"/>
        </w:rPr>
      </w:pPr>
      <w:r w:rsidRPr="00AA09AA">
        <w:rPr>
          <w:rFonts w:ascii="Verdana" w:hAnsi="Verdana"/>
          <w:sz w:val="20"/>
          <w:lang w:val="en-GB"/>
        </w:rPr>
        <w:t>Lending, indeed, is</w:t>
      </w:r>
      <w:r w:rsidR="00D961BC" w:rsidRPr="00AA09AA">
        <w:rPr>
          <w:rFonts w:ascii="Verdana" w:hAnsi="Verdana"/>
          <w:sz w:val="20"/>
          <w:lang w:val="en-GB"/>
        </w:rPr>
        <w:t xml:space="preserve"> underperforming. Figure </w:t>
      </w:r>
      <w:r w:rsidR="00406C3F" w:rsidRPr="00AA09AA">
        <w:rPr>
          <w:rFonts w:ascii="Verdana" w:hAnsi="Verdana"/>
          <w:sz w:val="20"/>
          <w:lang w:val="en-GB"/>
        </w:rPr>
        <w:t>2</w:t>
      </w:r>
      <w:r w:rsidR="00D961BC" w:rsidRPr="00AA09AA">
        <w:rPr>
          <w:rFonts w:ascii="Verdana" w:hAnsi="Verdana"/>
          <w:sz w:val="20"/>
          <w:lang w:val="en-GB"/>
        </w:rPr>
        <w:t xml:space="preserve"> displays the total value</w:t>
      </w:r>
      <w:r w:rsidR="00406C3F" w:rsidRPr="00AA09AA">
        <w:rPr>
          <w:rFonts w:ascii="Verdana" w:hAnsi="Verdana"/>
          <w:sz w:val="20"/>
          <w:lang w:val="en-GB"/>
        </w:rPr>
        <w:t xml:space="preserve"> of loans outstanding to the private sector</w:t>
      </w:r>
      <w:r w:rsidR="00D961BC" w:rsidRPr="00AA09AA">
        <w:rPr>
          <w:rFonts w:ascii="Verdana" w:hAnsi="Verdana"/>
          <w:sz w:val="20"/>
          <w:lang w:val="en-GB"/>
        </w:rPr>
        <w:t>. The first observation is that, normally, the stock of loans keep</w:t>
      </w:r>
      <w:r w:rsidR="0037590F" w:rsidRPr="00AA09AA">
        <w:rPr>
          <w:rFonts w:ascii="Verdana" w:hAnsi="Verdana"/>
          <w:sz w:val="20"/>
          <w:lang w:val="en-GB"/>
        </w:rPr>
        <w:t>s</w:t>
      </w:r>
      <w:r w:rsidR="00D961BC" w:rsidRPr="00AA09AA">
        <w:rPr>
          <w:rFonts w:ascii="Verdana" w:hAnsi="Verdana"/>
          <w:sz w:val="20"/>
          <w:lang w:val="en-GB"/>
        </w:rPr>
        <w:t xml:space="preserve"> increasing as banks</w:t>
      </w:r>
      <w:r w:rsidR="0037590F" w:rsidRPr="00AA09AA">
        <w:rPr>
          <w:rFonts w:ascii="Verdana" w:hAnsi="Verdana"/>
          <w:sz w:val="20"/>
          <w:lang w:val="en-GB"/>
        </w:rPr>
        <w:t xml:space="preserve"> lend more than they recover from past maturing loans. The steepening of the curve around 2005 reflects the excesses that contributed to the crisis. The second observation is </w:t>
      </w:r>
      <w:r w:rsidR="001D2B7E" w:rsidRPr="00AA09AA">
        <w:rPr>
          <w:rFonts w:ascii="Verdana" w:hAnsi="Verdana"/>
          <w:sz w:val="20"/>
          <w:lang w:val="en-GB"/>
        </w:rPr>
        <w:t xml:space="preserve">that, </w:t>
      </w:r>
      <w:r w:rsidR="0037590F" w:rsidRPr="00AA09AA">
        <w:rPr>
          <w:rFonts w:ascii="Verdana" w:hAnsi="Verdana"/>
          <w:sz w:val="20"/>
          <w:lang w:val="en-GB"/>
        </w:rPr>
        <w:t>since early 2008, the stock of loan</w:t>
      </w:r>
      <w:r w:rsidR="001D2B7E" w:rsidRPr="00AA09AA">
        <w:rPr>
          <w:rFonts w:ascii="Verdana" w:hAnsi="Verdana"/>
          <w:sz w:val="20"/>
          <w:lang w:val="en-GB"/>
        </w:rPr>
        <w:t>s</w:t>
      </w:r>
      <w:r w:rsidR="0037590F" w:rsidRPr="00AA09AA">
        <w:rPr>
          <w:rFonts w:ascii="Verdana" w:hAnsi="Verdana"/>
          <w:sz w:val="20"/>
          <w:lang w:val="en-GB"/>
        </w:rPr>
        <w:t xml:space="preserve"> has remained almost unchanged and that it has been declining since 2012 after a timid recovery in 2010. For nearly three years now, net lending is negative. Reversing this trend is the objective clearly stated by the ECB. </w:t>
      </w:r>
    </w:p>
    <w:p w:rsidR="00E413FB" w:rsidRPr="00AA09AA" w:rsidRDefault="0007091C" w:rsidP="00BA5544">
      <w:pPr>
        <w:spacing w:after="240" w:line="264" w:lineRule="auto"/>
        <w:rPr>
          <w:rFonts w:ascii="Verdana" w:hAnsi="Verdana"/>
          <w:sz w:val="20"/>
          <w:lang w:val="en-GB"/>
        </w:rPr>
      </w:pPr>
      <w:r w:rsidRPr="00AA09AA">
        <w:rPr>
          <w:rFonts w:ascii="Verdana" w:hAnsi="Verdana"/>
          <w:sz w:val="20"/>
          <w:lang w:val="en-GB"/>
        </w:rPr>
        <w:t xml:space="preserve">The strategy is to kick-start a wave of positive net lending. More loans should revive consumer spending and corporate investment. This, in turn, would lead to more activity, more incomes and therefore more spending, partly financed by more loans. The recovery would occur and feed into itself. </w:t>
      </w:r>
    </w:p>
    <w:p w:rsidR="00E413FB" w:rsidRPr="00AA09AA" w:rsidRDefault="00E413FB" w:rsidP="00C000D7">
      <w:pPr>
        <w:pStyle w:val="Caption"/>
      </w:pPr>
      <w:r w:rsidRPr="00AA09AA">
        <w:rPr>
          <w:noProof/>
          <w:lang w:val="en-US" w:eastAsia="en-US"/>
        </w:rPr>
        <w:drawing>
          <wp:anchor distT="0" distB="0" distL="114300" distR="114300" simplePos="0" relativeHeight="251663360" behindDoc="0" locked="0" layoutInCell="1" allowOverlap="1">
            <wp:simplePos x="0" y="0"/>
            <wp:positionH relativeFrom="column">
              <wp:posOffset>1270</wp:posOffset>
            </wp:positionH>
            <wp:positionV relativeFrom="paragraph">
              <wp:posOffset>247650</wp:posOffset>
            </wp:positionV>
            <wp:extent cx="2838450" cy="2296160"/>
            <wp:effectExtent l="25400" t="0" r="6350" b="0"/>
            <wp:wrapTight wrapText="bothSides">
              <wp:wrapPolygon edited="0">
                <wp:start x="-193" y="0"/>
                <wp:lineTo x="-193" y="21504"/>
                <wp:lineTo x="21648" y="21504"/>
                <wp:lineTo x="21648" y="0"/>
                <wp:lineTo x="-1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838450" cy="2296160"/>
                    </a:xfrm>
                    <a:prstGeom prst="rect">
                      <a:avLst/>
                    </a:prstGeom>
                    <a:noFill/>
                    <a:ln w="9525">
                      <a:noFill/>
                      <a:miter lim="800000"/>
                      <a:headEnd/>
                      <a:tailEnd/>
                    </a:ln>
                  </pic:spPr>
                </pic:pic>
              </a:graphicData>
            </a:graphic>
          </wp:anchor>
        </w:drawing>
      </w:r>
      <w:r w:rsidR="00E2233D" w:rsidRPr="00AA09AA">
        <w:t xml:space="preserve">Figure </w:t>
      </w:r>
      <w:r w:rsidR="00460E72">
        <w:fldChar w:fldCharType="begin"/>
      </w:r>
      <w:r w:rsidR="007D6C33">
        <w:instrText xml:space="preserve"> SEQ Figure \* ARABIC </w:instrText>
      </w:r>
      <w:r w:rsidR="00460E72">
        <w:fldChar w:fldCharType="separate"/>
      </w:r>
      <w:r w:rsidR="00160323" w:rsidRPr="00AA09AA">
        <w:rPr>
          <w:noProof/>
        </w:rPr>
        <w:t>2</w:t>
      </w:r>
      <w:r w:rsidR="00460E72">
        <w:rPr>
          <w:noProof/>
        </w:rPr>
        <w:fldChar w:fldCharType="end"/>
      </w:r>
      <w:r w:rsidR="00E2233D" w:rsidRPr="00AA09AA">
        <w:t>:</w:t>
      </w:r>
      <w:r w:rsidR="00E2233D" w:rsidRPr="00AA09AA">
        <w:tab/>
        <w:t>Loans outstanding to the non-financial private sector (trillion euros)</w:t>
      </w: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413FB" w:rsidRPr="00AA09AA" w:rsidRDefault="00E413FB" w:rsidP="000E292F">
      <w:pPr>
        <w:spacing w:after="120" w:line="264" w:lineRule="auto"/>
        <w:rPr>
          <w:rFonts w:ascii="Verdana" w:hAnsi="Verdana"/>
          <w:sz w:val="20"/>
          <w:lang w:val="en-GB"/>
        </w:rPr>
      </w:pPr>
    </w:p>
    <w:p w:rsidR="00E2233D" w:rsidRPr="00AA09AA" w:rsidRDefault="00E2233D" w:rsidP="00BA5544">
      <w:pPr>
        <w:spacing w:after="60" w:line="264" w:lineRule="auto"/>
        <w:rPr>
          <w:rFonts w:ascii="Verdana" w:hAnsi="Verdana"/>
          <w:b/>
          <w:sz w:val="20"/>
          <w:lang w:val="en-GB"/>
        </w:rPr>
      </w:pPr>
    </w:p>
    <w:p w:rsidR="00E413FB" w:rsidRPr="00AA09AA" w:rsidRDefault="00E413FB" w:rsidP="00BA5544">
      <w:pPr>
        <w:spacing w:line="264" w:lineRule="auto"/>
        <w:rPr>
          <w:rFonts w:ascii="Verdana" w:hAnsi="Verdana"/>
          <w:sz w:val="16"/>
          <w:szCs w:val="16"/>
          <w:lang w:val="en-GB"/>
        </w:rPr>
      </w:pPr>
      <w:r w:rsidRPr="00AA09AA">
        <w:rPr>
          <w:rFonts w:ascii="Verdana" w:hAnsi="Verdana"/>
          <w:b/>
          <w:sz w:val="16"/>
          <w:szCs w:val="16"/>
          <w:lang w:val="en-GB"/>
        </w:rPr>
        <w:t>Source:</w:t>
      </w:r>
      <w:r w:rsidRPr="00AA09AA">
        <w:rPr>
          <w:rFonts w:ascii="Verdana" w:hAnsi="Verdana"/>
          <w:sz w:val="16"/>
          <w:szCs w:val="16"/>
          <w:lang w:val="en-GB"/>
        </w:rPr>
        <w:t xml:space="preserve"> ECB</w:t>
      </w:r>
    </w:p>
    <w:p w:rsidR="007760F6" w:rsidRPr="00AA09AA" w:rsidRDefault="007760F6" w:rsidP="00BA5544">
      <w:pPr>
        <w:pStyle w:val="EUPHeading2"/>
      </w:pPr>
      <w:bookmarkStart w:id="23" w:name="_Toc398554024"/>
      <w:r w:rsidRPr="00AA09AA">
        <w:t>Weakening the exchange rate</w:t>
      </w:r>
      <w:bookmarkEnd w:id="23"/>
    </w:p>
    <w:p w:rsidR="007760F6" w:rsidRPr="00AA09AA" w:rsidRDefault="007F458D" w:rsidP="000E292F">
      <w:pPr>
        <w:spacing w:after="120" w:line="264" w:lineRule="auto"/>
        <w:rPr>
          <w:rFonts w:ascii="Verdana" w:hAnsi="Verdana"/>
          <w:sz w:val="20"/>
          <w:lang w:val="en-GB"/>
        </w:rPr>
      </w:pPr>
      <w:r w:rsidRPr="00AA09AA">
        <w:rPr>
          <w:rFonts w:ascii="Verdana" w:hAnsi="Verdana"/>
          <w:sz w:val="20"/>
          <w:lang w:val="en-GB"/>
        </w:rPr>
        <w:t>A weaker exchange rate means that the prices of imported goods rise. Some of these are consumer goods, and the increases directly affect the cost of living. Others are intermediate goods; higher production costs soon translate into faster rising prices for domestic production. Some goods are used for both purposes. A depreciation is one of the surest ways of fuelling inflation.</w:t>
      </w:r>
    </w:p>
    <w:p w:rsidR="009C37A8" w:rsidRPr="00AA09AA" w:rsidRDefault="009C37A8" w:rsidP="000E292F">
      <w:pPr>
        <w:spacing w:after="120" w:line="264" w:lineRule="auto"/>
        <w:rPr>
          <w:rFonts w:ascii="Verdana" w:hAnsi="Verdana"/>
          <w:sz w:val="20"/>
          <w:lang w:val="en-GB"/>
        </w:rPr>
      </w:pPr>
      <w:r w:rsidRPr="00AA09AA">
        <w:rPr>
          <w:rFonts w:ascii="Verdana" w:hAnsi="Verdana"/>
          <w:sz w:val="20"/>
          <w:lang w:val="en-GB"/>
        </w:rPr>
        <w:t xml:space="preserve">One of the surprises of the sovereign debt crisis is that </w:t>
      </w:r>
      <w:r w:rsidR="00EA235B" w:rsidRPr="00AA09AA">
        <w:rPr>
          <w:rFonts w:ascii="Verdana" w:hAnsi="Verdana"/>
          <w:sz w:val="20"/>
          <w:lang w:val="en-GB"/>
        </w:rPr>
        <w:t xml:space="preserve">the </w:t>
      </w:r>
      <w:r w:rsidRPr="00AA09AA">
        <w:rPr>
          <w:rFonts w:ascii="Verdana" w:hAnsi="Verdana"/>
          <w:sz w:val="20"/>
          <w:lang w:val="en-GB"/>
        </w:rPr>
        <w:t xml:space="preserve">euro has remained rather strong. Figure 3 displays the average of the value of the euro relatively to a large sample of countries, the effective exchange rate. Although it did decline from the high, overvalued level reached in late 2009, it grew again after President Draghi’s “whatever it takes” declaration of July 2012. </w:t>
      </w:r>
    </w:p>
    <w:p w:rsidR="009C37A8" w:rsidRPr="00AA09AA" w:rsidRDefault="009C37A8" w:rsidP="000E292F">
      <w:pPr>
        <w:spacing w:after="120" w:line="264" w:lineRule="auto"/>
        <w:rPr>
          <w:rFonts w:ascii="Verdana" w:hAnsi="Verdana"/>
          <w:sz w:val="20"/>
          <w:lang w:val="en-GB"/>
        </w:rPr>
      </w:pPr>
    </w:p>
    <w:p w:rsidR="009C37A8" w:rsidRPr="00AA09AA" w:rsidRDefault="009C37A8" w:rsidP="00C000D7">
      <w:pPr>
        <w:pStyle w:val="Caption"/>
      </w:pPr>
      <w:r w:rsidRPr="00AA09AA">
        <w:rPr>
          <w:noProof/>
          <w:lang w:val="en-US" w:eastAsia="en-US"/>
        </w:rPr>
        <w:drawing>
          <wp:anchor distT="0" distB="0" distL="114300" distR="114300" simplePos="0" relativeHeight="251665408" behindDoc="0" locked="0" layoutInCell="1" allowOverlap="1">
            <wp:simplePos x="0" y="0"/>
            <wp:positionH relativeFrom="column">
              <wp:posOffset>1270</wp:posOffset>
            </wp:positionH>
            <wp:positionV relativeFrom="paragraph">
              <wp:posOffset>243840</wp:posOffset>
            </wp:positionV>
            <wp:extent cx="2844800" cy="2250440"/>
            <wp:effectExtent l="25400" t="0" r="0" b="0"/>
            <wp:wrapTight wrapText="bothSides">
              <wp:wrapPolygon edited="0">
                <wp:start x="-193" y="0"/>
                <wp:lineTo x="-193" y="21454"/>
                <wp:lineTo x="21600" y="21454"/>
                <wp:lineTo x="21600" y="0"/>
                <wp:lineTo x="-193"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844800" cy="2250440"/>
                    </a:xfrm>
                    <a:prstGeom prst="rect">
                      <a:avLst/>
                    </a:prstGeom>
                    <a:noFill/>
                    <a:ln w="9525">
                      <a:noFill/>
                      <a:miter lim="800000"/>
                      <a:headEnd/>
                      <a:tailEnd/>
                    </a:ln>
                  </pic:spPr>
                </pic:pic>
              </a:graphicData>
            </a:graphic>
          </wp:anchor>
        </w:drawing>
      </w:r>
      <w:r w:rsidR="00E2233D" w:rsidRPr="00AA09AA">
        <w:t xml:space="preserve">Figure </w:t>
      </w:r>
      <w:r w:rsidR="00460E72">
        <w:fldChar w:fldCharType="begin"/>
      </w:r>
      <w:r w:rsidR="007D6C33">
        <w:instrText xml:space="preserve"> SEQ Figure \* ARABIC </w:instrText>
      </w:r>
      <w:r w:rsidR="00460E72">
        <w:fldChar w:fldCharType="separate"/>
      </w:r>
      <w:r w:rsidR="00160323" w:rsidRPr="00AA09AA">
        <w:rPr>
          <w:noProof/>
        </w:rPr>
        <w:t>3</w:t>
      </w:r>
      <w:r w:rsidR="00460E72">
        <w:rPr>
          <w:noProof/>
        </w:rPr>
        <w:fldChar w:fldCharType="end"/>
      </w:r>
      <w:r w:rsidR="00E2233D" w:rsidRPr="00AA09AA">
        <w:t>:</w:t>
      </w:r>
      <w:r w:rsidR="00E2233D" w:rsidRPr="00AA09AA">
        <w:tab/>
        <w:t>Effective exchange rate (January 1999 = 100)</w:t>
      </w: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20"/>
          <w:lang w:val="en-GB"/>
        </w:rPr>
      </w:pPr>
    </w:p>
    <w:p w:rsidR="00E2233D" w:rsidRPr="00AA09AA" w:rsidRDefault="00E2233D" w:rsidP="000E292F">
      <w:pPr>
        <w:spacing w:after="120" w:line="264" w:lineRule="auto"/>
        <w:rPr>
          <w:rFonts w:ascii="Verdana" w:hAnsi="Verdana"/>
          <w:sz w:val="20"/>
          <w:lang w:val="en-GB"/>
        </w:rPr>
      </w:pPr>
    </w:p>
    <w:p w:rsidR="009C37A8" w:rsidRPr="00AA09AA" w:rsidRDefault="009C37A8" w:rsidP="000E292F">
      <w:pPr>
        <w:spacing w:after="120" w:line="264" w:lineRule="auto"/>
        <w:rPr>
          <w:rFonts w:ascii="Verdana" w:hAnsi="Verdana"/>
          <w:sz w:val="16"/>
          <w:szCs w:val="16"/>
          <w:lang w:val="en-GB"/>
        </w:rPr>
      </w:pPr>
      <w:r w:rsidRPr="00AA09AA">
        <w:rPr>
          <w:rFonts w:ascii="Verdana" w:hAnsi="Verdana"/>
          <w:b/>
          <w:sz w:val="16"/>
          <w:szCs w:val="16"/>
          <w:lang w:val="en-GB"/>
        </w:rPr>
        <w:t>Source:</w:t>
      </w:r>
      <w:r w:rsidRPr="00AA09AA">
        <w:rPr>
          <w:rFonts w:ascii="Verdana" w:hAnsi="Verdana"/>
          <w:sz w:val="16"/>
          <w:szCs w:val="16"/>
          <w:lang w:val="en-GB"/>
        </w:rPr>
        <w:t xml:space="preserve"> International Financial Statistics, IMF.</w:t>
      </w:r>
    </w:p>
    <w:p w:rsidR="00B12D8E" w:rsidRPr="00AA09AA" w:rsidRDefault="009C37A8" w:rsidP="000E292F">
      <w:pPr>
        <w:spacing w:after="120" w:line="264" w:lineRule="auto"/>
        <w:rPr>
          <w:rFonts w:ascii="Verdana" w:hAnsi="Verdana"/>
          <w:sz w:val="20"/>
          <w:lang w:val="en-GB"/>
        </w:rPr>
      </w:pPr>
      <w:r w:rsidRPr="00AA09AA">
        <w:rPr>
          <w:rFonts w:ascii="Verdana" w:hAnsi="Verdana"/>
          <w:sz w:val="20"/>
          <w:lang w:val="en-GB"/>
        </w:rPr>
        <w:t>A possible reason is that the ECB has been rather less active than the other major central banks</w:t>
      </w:r>
      <w:r w:rsidR="004F5601" w:rsidRPr="00AA09AA">
        <w:rPr>
          <w:rFonts w:ascii="Verdana" w:hAnsi="Verdana"/>
          <w:sz w:val="20"/>
          <w:lang w:val="en-GB"/>
        </w:rPr>
        <w:t>, in particular in its support of the level of activity</w:t>
      </w:r>
      <w:r w:rsidRPr="00AA09AA">
        <w:rPr>
          <w:rFonts w:ascii="Verdana" w:hAnsi="Verdana"/>
          <w:sz w:val="20"/>
          <w:lang w:val="en-GB"/>
        </w:rPr>
        <w:t xml:space="preserve"> (Wyplosz, 2011).</w:t>
      </w:r>
      <w:r w:rsidR="004F5601" w:rsidRPr="00AA09AA">
        <w:rPr>
          <w:rFonts w:ascii="Verdana" w:hAnsi="Verdana"/>
          <w:sz w:val="20"/>
          <w:lang w:val="en-GB"/>
        </w:rPr>
        <w:t xml:space="preserve"> As can be seen in Figure 1, it even started to tighten its policy stance in </w:t>
      </w:r>
      <w:r w:rsidR="00CB6C4D" w:rsidRPr="00AA09AA">
        <w:rPr>
          <w:rFonts w:ascii="Verdana" w:hAnsi="Verdana"/>
          <w:sz w:val="20"/>
          <w:lang w:val="en-GB"/>
        </w:rPr>
        <w:t>mid-2011</w:t>
      </w:r>
      <w:r w:rsidR="004F5601" w:rsidRPr="00AA09AA">
        <w:rPr>
          <w:rFonts w:ascii="Verdana" w:hAnsi="Verdana"/>
          <w:sz w:val="20"/>
          <w:lang w:val="en-GB"/>
        </w:rPr>
        <w:t xml:space="preserve">, in sharp contrast with expansionary efforts elsewhere. </w:t>
      </w:r>
      <w:r w:rsidR="00B12D8E" w:rsidRPr="00AA09AA">
        <w:rPr>
          <w:rFonts w:ascii="Verdana" w:hAnsi="Verdana"/>
          <w:sz w:val="20"/>
          <w:lang w:val="en-GB"/>
        </w:rPr>
        <w:t>The ECB always remind</w:t>
      </w:r>
      <w:r w:rsidR="00EA235B" w:rsidRPr="00AA09AA">
        <w:rPr>
          <w:rFonts w:ascii="Verdana" w:hAnsi="Verdana"/>
          <w:sz w:val="20"/>
          <w:lang w:val="en-GB"/>
        </w:rPr>
        <w:t>s u</w:t>
      </w:r>
      <w:r w:rsidR="00B12D8E" w:rsidRPr="00AA09AA">
        <w:rPr>
          <w:rFonts w:ascii="Verdana" w:hAnsi="Verdana"/>
          <w:sz w:val="20"/>
          <w:lang w:val="en-GB"/>
        </w:rPr>
        <w:t xml:space="preserve">s that it has no exchange rate policy, which is indeed an implication </w:t>
      </w:r>
      <w:r w:rsidR="00EA235B" w:rsidRPr="00AA09AA">
        <w:rPr>
          <w:rFonts w:ascii="Verdana" w:hAnsi="Verdana"/>
          <w:sz w:val="20"/>
          <w:lang w:val="en-GB"/>
        </w:rPr>
        <w:t xml:space="preserve">of its strategy of </w:t>
      </w:r>
      <w:r w:rsidR="00B12D8E" w:rsidRPr="00AA09AA">
        <w:rPr>
          <w:rFonts w:ascii="Verdana" w:hAnsi="Verdana"/>
          <w:sz w:val="20"/>
          <w:lang w:val="en-GB"/>
        </w:rPr>
        <w:t>set</w:t>
      </w:r>
      <w:r w:rsidR="00EA235B" w:rsidRPr="00AA09AA">
        <w:rPr>
          <w:rFonts w:ascii="Verdana" w:hAnsi="Verdana"/>
          <w:sz w:val="20"/>
          <w:lang w:val="en-GB"/>
        </w:rPr>
        <w:t>ting</w:t>
      </w:r>
      <w:r w:rsidR="00B12D8E" w:rsidRPr="00AA09AA">
        <w:rPr>
          <w:rFonts w:ascii="Verdana" w:hAnsi="Verdana"/>
          <w:sz w:val="20"/>
          <w:lang w:val="en-GB"/>
        </w:rPr>
        <w:t xml:space="preserve"> the interest rate according to its price stability mandate. Yet, it admits that the exchange rate is one of the factors affecting inflation, which means that it is looked at and taken into account. </w:t>
      </w:r>
    </w:p>
    <w:p w:rsidR="00B12D8E" w:rsidRPr="00AA09AA" w:rsidRDefault="00B12D8E" w:rsidP="000E292F">
      <w:pPr>
        <w:spacing w:after="120" w:line="264" w:lineRule="auto"/>
        <w:rPr>
          <w:rFonts w:ascii="Verdana" w:hAnsi="Verdana"/>
          <w:sz w:val="20"/>
          <w:lang w:val="en-GB"/>
        </w:rPr>
      </w:pPr>
      <w:r w:rsidRPr="00AA09AA">
        <w:rPr>
          <w:rFonts w:ascii="Verdana" w:hAnsi="Verdana"/>
          <w:sz w:val="20"/>
          <w:lang w:val="en-GB"/>
        </w:rPr>
        <w:t xml:space="preserve">Indeed, over the recent months, the ECB has repeatedly signalled that it views the euro as too strong, implying that it would like to see it depreciate. Talking </w:t>
      </w:r>
      <w:r w:rsidR="00FE54AE" w:rsidRPr="00AA09AA">
        <w:rPr>
          <w:rFonts w:ascii="Verdana" w:hAnsi="Verdana"/>
          <w:sz w:val="20"/>
          <w:lang w:val="en-GB"/>
        </w:rPr>
        <w:t xml:space="preserve">the euro down </w:t>
      </w:r>
      <w:r w:rsidRPr="00AA09AA">
        <w:rPr>
          <w:rFonts w:ascii="Verdana" w:hAnsi="Verdana"/>
          <w:sz w:val="20"/>
          <w:lang w:val="en-GB"/>
        </w:rPr>
        <w:t xml:space="preserve">has proven to be insufficient, however. </w:t>
      </w:r>
      <w:r w:rsidR="00344839" w:rsidRPr="00AA09AA">
        <w:rPr>
          <w:rFonts w:ascii="Verdana" w:hAnsi="Verdana"/>
          <w:sz w:val="20"/>
          <w:lang w:val="en-GB"/>
        </w:rPr>
        <w:t xml:space="preserve">A more forceful action, along the lines announced recently, is likely to make a lasting difference. Injecting vast amounts of liquidity increases the supply of euros worldwide and is bound to lower the value of the euro. </w:t>
      </w:r>
    </w:p>
    <w:p w:rsidR="00C000D7" w:rsidRPr="00AA09AA" w:rsidRDefault="00C000D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ascii="Verdana" w:hAnsi="Verdana"/>
          <w:b/>
          <w:bCs/>
          <w:color w:val="000080"/>
          <w:lang w:val="en-GB"/>
        </w:rPr>
      </w:pPr>
      <w:r w:rsidRPr="00AA09AA">
        <w:rPr>
          <w:lang w:val="en-GB"/>
        </w:rPr>
        <w:br w:type="page"/>
      </w:r>
    </w:p>
    <w:p w:rsidR="007760F6" w:rsidRPr="00AA09AA" w:rsidRDefault="007760F6" w:rsidP="00BA5544">
      <w:pPr>
        <w:pStyle w:val="EUPHeading2"/>
      </w:pPr>
      <w:bookmarkStart w:id="24" w:name="_Toc398554025"/>
      <w:r w:rsidRPr="00AA09AA">
        <w:t>Keeping inflation expectations anchored</w:t>
      </w:r>
      <w:bookmarkEnd w:id="24"/>
    </w:p>
    <w:p w:rsidR="007760F6" w:rsidRPr="00AA09AA" w:rsidRDefault="0031228F" w:rsidP="000E292F">
      <w:pPr>
        <w:spacing w:after="120" w:line="264" w:lineRule="auto"/>
        <w:rPr>
          <w:rFonts w:ascii="Verdana" w:hAnsi="Verdana"/>
          <w:sz w:val="20"/>
          <w:lang w:val="en-GB"/>
        </w:rPr>
      </w:pPr>
      <w:r w:rsidRPr="00AA09AA">
        <w:rPr>
          <w:rFonts w:ascii="Verdana" w:hAnsi="Verdana"/>
          <w:sz w:val="20"/>
          <w:lang w:val="en-GB"/>
        </w:rPr>
        <w:t xml:space="preserve">Anticipations of future inflation affect wage and price settlements as well as </w:t>
      </w:r>
      <w:r w:rsidR="00540B00" w:rsidRPr="00AA09AA">
        <w:rPr>
          <w:rFonts w:ascii="Verdana" w:hAnsi="Verdana"/>
          <w:sz w:val="20"/>
          <w:lang w:val="en-GB"/>
        </w:rPr>
        <w:t xml:space="preserve">financial market pricing of assets. The latter concerns interest rates, a key channel of monetary policy. This is why the ECB, and all other central banks, are so </w:t>
      </w:r>
      <w:r w:rsidR="00905002" w:rsidRPr="00AA09AA">
        <w:rPr>
          <w:rFonts w:ascii="Verdana" w:hAnsi="Verdana"/>
          <w:sz w:val="20"/>
          <w:lang w:val="en-GB"/>
        </w:rPr>
        <w:t xml:space="preserve">eager to keep </w:t>
      </w:r>
      <w:r w:rsidR="00540B00" w:rsidRPr="00AA09AA">
        <w:rPr>
          <w:rFonts w:ascii="Verdana" w:hAnsi="Verdana"/>
          <w:sz w:val="20"/>
          <w:lang w:val="en-GB"/>
        </w:rPr>
        <w:t>inflation expectations anchored close to their targets.</w:t>
      </w:r>
    </w:p>
    <w:p w:rsidR="0031228F" w:rsidRPr="00AA09AA" w:rsidRDefault="00540B00" w:rsidP="000E292F">
      <w:pPr>
        <w:spacing w:after="120" w:line="264" w:lineRule="auto"/>
        <w:rPr>
          <w:rFonts w:ascii="Verdana" w:hAnsi="Verdana"/>
          <w:sz w:val="20"/>
          <w:lang w:val="en-GB"/>
        </w:rPr>
      </w:pPr>
      <w:r w:rsidRPr="00AA09AA">
        <w:rPr>
          <w:rFonts w:ascii="Verdana" w:hAnsi="Verdana"/>
          <w:sz w:val="20"/>
          <w:lang w:val="en-GB"/>
        </w:rPr>
        <w:t xml:space="preserve">Figure 4 reports market expectations, as collected by the ECB. </w:t>
      </w:r>
      <w:r w:rsidR="0019174B" w:rsidRPr="00AA09AA">
        <w:rPr>
          <w:rFonts w:ascii="Verdana" w:hAnsi="Verdana"/>
          <w:sz w:val="20"/>
          <w:lang w:val="en-GB"/>
        </w:rPr>
        <w:t>The latest observations fall in the range “below but close 2%”, which indicates that fears of disinflation are not widespread. The continuous decline is in fact welcome. So far, at least, expectations are well anchored.</w:t>
      </w:r>
    </w:p>
    <w:p w:rsidR="0031228F" w:rsidRPr="00AA09AA" w:rsidRDefault="0031228F" w:rsidP="000E292F">
      <w:pPr>
        <w:spacing w:after="120" w:line="264" w:lineRule="auto"/>
        <w:rPr>
          <w:rFonts w:ascii="Verdana" w:hAnsi="Verdana"/>
          <w:sz w:val="20"/>
          <w:lang w:val="en-GB"/>
        </w:rPr>
      </w:pPr>
    </w:p>
    <w:p w:rsidR="0031228F" w:rsidRPr="00AA09AA" w:rsidRDefault="0031228F" w:rsidP="00C000D7">
      <w:pPr>
        <w:pStyle w:val="Caption"/>
      </w:pPr>
      <w:r w:rsidRPr="00AA09AA">
        <w:rPr>
          <w:noProof/>
          <w:lang w:val="en-US" w:eastAsia="en-US"/>
        </w:rPr>
        <w:drawing>
          <wp:anchor distT="0" distB="0" distL="114300" distR="114300" simplePos="0" relativeHeight="251667456" behindDoc="0" locked="0" layoutInCell="1" allowOverlap="1">
            <wp:simplePos x="0" y="0"/>
            <wp:positionH relativeFrom="column">
              <wp:posOffset>1270</wp:posOffset>
            </wp:positionH>
            <wp:positionV relativeFrom="paragraph">
              <wp:posOffset>245110</wp:posOffset>
            </wp:positionV>
            <wp:extent cx="3079750" cy="2552700"/>
            <wp:effectExtent l="25400" t="0" r="0" b="0"/>
            <wp:wrapTight wrapText="bothSides">
              <wp:wrapPolygon edited="0">
                <wp:start x="-178" y="0"/>
                <wp:lineTo x="-178" y="21493"/>
                <wp:lineTo x="21555" y="21493"/>
                <wp:lineTo x="21555" y="0"/>
                <wp:lineTo x="-178"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079750" cy="2552700"/>
                    </a:xfrm>
                    <a:prstGeom prst="rect">
                      <a:avLst/>
                    </a:prstGeom>
                    <a:noFill/>
                    <a:ln w="9525">
                      <a:noFill/>
                      <a:miter lim="800000"/>
                      <a:headEnd/>
                      <a:tailEnd/>
                    </a:ln>
                  </pic:spPr>
                </pic:pic>
              </a:graphicData>
            </a:graphic>
          </wp:anchor>
        </w:drawing>
      </w:r>
      <w:r w:rsidR="0042507B" w:rsidRPr="00AA09AA">
        <w:t xml:space="preserve">Figure </w:t>
      </w:r>
      <w:r w:rsidR="00460E72">
        <w:fldChar w:fldCharType="begin"/>
      </w:r>
      <w:r w:rsidR="007D6C33">
        <w:instrText xml:space="preserve"> SEQ Figure \* ARABIC </w:instrText>
      </w:r>
      <w:r w:rsidR="00460E72">
        <w:fldChar w:fldCharType="separate"/>
      </w:r>
      <w:r w:rsidR="00160323" w:rsidRPr="00AA09AA">
        <w:rPr>
          <w:noProof/>
        </w:rPr>
        <w:t>4</w:t>
      </w:r>
      <w:r w:rsidR="00460E72">
        <w:rPr>
          <w:noProof/>
        </w:rPr>
        <w:fldChar w:fldCharType="end"/>
      </w:r>
      <w:r w:rsidR="0042507B" w:rsidRPr="00AA09AA">
        <w:t>:</w:t>
      </w:r>
      <w:r w:rsidR="0042507B" w:rsidRPr="00AA09AA">
        <w:tab/>
        <w:t>Inflation expectations five-year ahead</w:t>
      </w: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20"/>
          <w:lang w:val="en-GB"/>
        </w:rPr>
      </w:pPr>
    </w:p>
    <w:p w:rsidR="0031228F" w:rsidRPr="00AA09AA" w:rsidRDefault="0031228F" w:rsidP="000E292F">
      <w:pPr>
        <w:spacing w:after="120" w:line="264" w:lineRule="auto"/>
        <w:rPr>
          <w:rFonts w:ascii="Verdana" w:hAnsi="Verdana"/>
          <w:sz w:val="16"/>
          <w:szCs w:val="16"/>
          <w:lang w:val="en-GB"/>
        </w:rPr>
      </w:pPr>
      <w:r w:rsidRPr="00AA09AA">
        <w:rPr>
          <w:rFonts w:ascii="Verdana" w:hAnsi="Verdana"/>
          <w:b/>
          <w:sz w:val="16"/>
          <w:szCs w:val="16"/>
          <w:lang w:val="en-GB"/>
        </w:rPr>
        <w:t xml:space="preserve">Source: </w:t>
      </w:r>
      <w:r w:rsidRPr="00AA09AA">
        <w:rPr>
          <w:rFonts w:ascii="Verdana" w:hAnsi="Verdana"/>
          <w:sz w:val="16"/>
          <w:szCs w:val="16"/>
          <w:lang w:val="en-GB"/>
        </w:rPr>
        <w:t>Survey of Professional Forecasters, ECB</w:t>
      </w:r>
    </w:p>
    <w:p w:rsidR="0031228F" w:rsidRPr="00AA09AA" w:rsidRDefault="0031228F" w:rsidP="000E292F">
      <w:pPr>
        <w:spacing w:after="120" w:line="264" w:lineRule="auto"/>
        <w:rPr>
          <w:rFonts w:ascii="Verdana" w:hAnsi="Verdana"/>
          <w:sz w:val="20"/>
          <w:lang w:val="en-GB"/>
        </w:rPr>
      </w:pPr>
    </w:p>
    <w:p w:rsidR="0086100F" w:rsidRPr="00AA09AA" w:rsidRDefault="0086100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264" w:lineRule="auto"/>
        <w:jc w:val="left"/>
        <w:rPr>
          <w:rFonts w:ascii="Verdana" w:hAnsi="Verdana"/>
          <w:b/>
          <w:bCs/>
          <w:caps/>
          <w:color w:val="000080"/>
          <w:kern w:val="28"/>
          <w:sz w:val="28"/>
          <w:lang w:val="en-GB"/>
        </w:rPr>
      </w:pPr>
      <w:r w:rsidRPr="00AA09AA">
        <w:rPr>
          <w:lang w:val="en-GB"/>
        </w:rPr>
        <w:br w:type="page"/>
      </w:r>
    </w:p>
    <w:p w:rsidR="00C13357" w:rsidRPr="00AA09AA" w:rsidRDefault="0086100F" w:rsidP="00C000D7">
      <w:pPr>
        <w:pStyle w:val="StyleHeading1Verdana14ptBoldDarkBlueAllcaps"/>
      </w:pPr>
      <w:bookmarkStart w:id="25" w:name="_Toc398554026"/>
      <w:r w:rsidRPr="00AA09AA">
        <w:t>NEGATIVE INTEREST RATE</w:t>
      </w:r>
      <w:bookmarkEnd w:id="25"/>
    </w:p>
    <w:p w:rsidR="00C13357" w:rsidRPr="00AA09AA" w:rsidRDefault="00C13357" w:rsidP="00C000D7">
      <w:pPr>
        <w:spacing w:after="180" w:line="264" w:lineRule="auto"/>
        <w:rPr>
          <w:rFonts w:ascii="Verdana" w:hAnsi="Verdana"/>
          <w:sz w:val="20"/>
          <w:lang w:val="en-GB"/>
        </w:rPr>
      </w:pPr>
      <w:r w:rsidRPr="00AA09AA">
        <w:rPr>
          <w:rFonts w:ascii="Verdana" w:hAnsi="Verdana"/>
          <w:sz w:val="20"/>
          <w:lang w:val="en-GB"/>
        </w:rPr>
        <w:t xml:space="preserve">As seen from Figure 1, the ECB has brought its lower policy interest rate into negative territory in two steps: -0.1% in June and -0.2% in September. Requiring that banks pay to hold excess reserves at the ECB is symbolically striking. Yet, as the figure shows, these are very small steps. It would be surprising that they would have a significant effect. </w:t>
      </w:r>
    </w:p>
    <w:p w:rsidR="00C13357" w:rsidRPr="00AA09AA" w:rsidRDefault="00C13357" w:rsidP="00C000D7">
      <w:pPr>
        <w:spacing w:after="180" w:line="264" w:lineRule="auto"/>
        <w:rPr>
          <w:rFonts w:ascii="Verdana" w:hAnsi="Verdana"/>
          <w:sz w:val="20"/>
          <w:lang w:val="en-GB"/>
        </w:rPr>
      </w:pPr>
      <w:r w:rsidRPr="00AA09AA">
        <w:rPr>
          <w:rFonts w:ascii="Verdana" w:hAnsi="Verdana"/>
          <w:sz w:val="20"/>
          <w:lang w:val="en-GB"/>
        </w:rPr>
        <w:t xml:space="preserve">The idea is to encourage banks to use their amounts of excess reserves to lend to the private sector. This begs the question of why they do not lend. </w:t>
      </w:r>
    </w:p>
    <w:p w:rsidR="00930006" w:rsidRPr="00AA09AA" w:rsidRDefault="0019174B" w:rsidP="00C000D7">
      <w:pPr>
        <w:spacing w:after="180" w:line="264" w:lineRule="auto"/>
        <w:rPr>
          <w:rFonts w:ascii="Verdana" w:hAnsi="Verdana"/>
          <w:sz w:val="20"/>
          <w:lang w:val="en-GB"/>
        </w:rPr>
      </w:pPr>
      <w:r w:rsidRPr="00AA09AA">
        <w:rPr>
          <w:rFonts w:ascii="Verdana" w:hAnsi="Verdana"/>
          <w:sz w:val="20"/>
          <w:lang w:val="en-GB"/>
        </w:rPr>
        <w:t xml:space="preserve">The reasoning behind the ECB actions </w:t>
      </w:r>
      <w:r w:rsidR="007D3CE8" w:rsidRPr="00AA09AA">
        <w:rPr>
          <w:rFonts w:ascii="Verdana" w:hAnsi="Verdana"/>
          <w:sz w:val="20"/>
          <w:lang w:val="en-GB"/>
        </w:rPr>
        <w:t>aims at reinvigorating</w:t>
      </w:r>
      <w:r w:rsidRPr="00AA09AA">
        <w:rPr>
          <w:rFonts w:ascii="Verdana" w:hAnsi="Verdana"/>
          <w:sz w:val="20"/>
          <w:lang w:val="en-GB"/>
        </w:rPr>
        <w:t xml:space="preserve"> the supply of credit</w:t>
      </w:r>
      <w:r w:rsidR="007D3CE8" w:rsidRPr="00AA09AA">
        <w:rPr>
          <w:rFonts w:ascii="Verdana" w:hAnsi="Verdana"/>
          <w:sz w:val="20"/>
          <w:lang w:val="en-GB"/>
        </w:rPr>
        <w:t>, in a context where banks are engaged in deleveraging</w:t>
      </w:r>
      <w:r w:rsidRPr="00AA09AA">
        <w:rPr>
          <w:rFonts w:ascii="Verdana" w:hAnsi="Verdana"/>
          <w:sz w:val="20"/>
          <w:lang w:val="en-GB"/>
        </w:rPr>
        <w:t xml:space="preserve">. </w:t>
      </w:r>
      <w:r w:rsidR="007D3CE8" w:rsidRPr="00AA09AA">
        <w:rPr>
          <w:rFonts w:ascii="Verdana" w:hAnsi="Verdana"/>
          <w:sz w:val="20"/>
          <w:lang w:val="en-GB"/>
        </w:rPr>
        <w:t xml:space="preserve">It remains to be seen whether the poor lending performance is driven by supply or by demand factors. Negative net credit growth may well lead to poor economic growth, but poor economic growth can lie at the roots of </w:t>
      </w:r>
      <w:r w:rsidR="00905002" w:rsidRPr="00AA09AA">
        <w:rPr>
          <w:rFonts w:ascii="Verdana" w:hAnsi="Verdana"/>
          <w:sz w:val="20"/>
          <w:lang w:val="en-GB"/>
        </w:rPr>
        <w:t xml:space="preserve">weak demand for </w:t>
      </w:r>
      <w:r w:rsidR="007D3CE8" w:rsidRPr="00AA09AA">
        <w:rPr>
          <w:rFonts w:ascii="Verdana" w:hAnsi="Verdana"/>
          <w:sz w:val="20"/>
          <w:lang w:val="en-GB"/>
        </w:rPr>
        <w:t xml:space="preserve">credit. </w:t>
      </w:r>
    </w:p>
    <w:p w:rsidR="00D56CBF" w:rsidRPr="00AA09AA" w:rsidRDefault="00930006" w:rsidP="00C000D7">
      <w:pPr>
        <w:spacing w:after="180" w:line="264" w:lineRule="auto"/>
        <w:rPr>
          <w:rFonts w:ascii="Verdana" w:hAnsi="Verdana"/>
          <w:sz w:val="20"/>
          <w:lang w:val="en-GB"/>
        </w:rPr>
      </w:pPr>
      <w:r w:rsidRPr="00AA09AA">
        <w:rPr>
          <w:rFonts w:ascii="Verdana" w:hAnsi="Verdana"/>
          <w:sz w:val="20"/>
          <w:lang w:val="en-GB"/>
        </w:rPr>
        <w:t>Disentangling demand and supply is technically complex and there does not seem to exist work dealing directly with this question</w:t>
      </w:r>
      <w:r w:rsidR="00E7593F" w:rsidRPr="00AA09AA">
        <w:rPr>
          <w:rFonts w:ascii="Verdana" w:hAnsi="Verdana"/>
          <w:sz w:val="20"/>
          <w:lang w:val="en-GB"/>
        </w:rPr>
        <w:t xml:space="preserve"> in the Eurozone at the present juncture</w:t>
      </w:r>
      <w:r w:rsidRPr="00AA09AA">
        <w:rPr>
          <w:rFonts w:ascii="Verdana" w:hAnsi="Verdana"/>
          <w:sz w:val="20"/>
          <w:lang w:val="en-GB"/>
        </w:rPr>
        <w:t>. In its Bank Lending Survey the ECB interprets answers to identify “net demand” (the difference between banks reporting increases and banks reporting decreases in loans) but that is not really measuring demand. Indirect evidence is that demand is and remains week. Indeed, according to the same survey, lending conditions have been declining since mid-2013, a sign that supply is growing</w:t>
      </w:r>
      <w:r w:rsidR="00E7593F" w:rsidRPr="00AA09AA">
        <w:rPr>
          <w:rFonts w:ascii="Verdana" w:hAnsi="Verdana"/>
          <w:sz w:val="20"/>
          <w:lang w:val="en-GB"/>
        </w:rPr>
        <w:t xml:space="preserve"> easier</w:t>
      </w:r>
      <w:r w:rsidRPr="00AA09AA">
        <w:rPr>
          <w:rFonts w:ascii="Verdana" w:hAnsi="Verdana"/>
          <w:sz w:val="20"/>
          <w:lang w:val="en-GB"/>
        </w:rPr>
        <w:t xml:space="preserve">. Yet, Figure 2 shows that total credit outstanding has declined, which suggests that </w:t>
      </w:r>
      <w:r w:rsidR="00B7251B" w:rsidRPr="00AA09AA">
        <w:rPr>
          <w:rFonts w:ascii="Verdana" w:hAnsi="Verdana"/>
          <w:sz w:val="20"/>
          <w:lang w:val="en-GB"/>
        </w:rPr>
        <w:t xml:space="preserve">demand is the constraining factor. </w:t>
      </w:r>
    </w:p>
    <w:p w:rsidR="00D56CBF" w:rsidRPr="00AA09AA" w:rsidRDefault="00D56CBF" w:rsidP="00C000D7">
      <w:pPr>
        <w:spacing w:after="80" w:line="264" w:lineRule="auto"/>
        <w:rPr>
          <w:rFonts w:ascii="Verdana" w:hAnsi="Verdana"/>
          <w:sz w:val="20"/>
          <w:lang w:val="en-GB"/>
        </w:rPr>
      </w:pPr>
      <w:r w:rsidRPr="00AA09AA">
        <w:rPr>
          <w:rFonts w:ascii="Verdana" w:hAnsi="Verdana"/>
          <w:sz w:val="20"/>
          <w:lang w:val="en-GB"/>
        </w:rPr>
        <w:t>If this is the correct diagnosis, lowering the policy interest rate can have an effect if two conditions are satisfied:</w:t>
      </w:r>
    </w:p>
    <w:p w:rsidR="00D56CBF" w:rsidRPr="00AA09AA" w:rsidRDefault="00D56CBF" w:rsidP="00AA09AA">
      <w:pPr>
        <w:pStyle w:val="ListParagraph"/>
        <w:numPr>
          <w:ilvl w:val="0"/>
          <w:numId w:val="46"/>
        </w:numPr>
        <w:spacing w:after="60" w:line="264" w:lineRule="auto"/>
        <w:ind w:left="714" w:hanging="357"/>
        <w:contextualSpacing w:val="0"/>
        <w:rPr>
          <w:rFonts w:ascii="Verdana" w:hAnsi="Verdana"/>
          <w:sz w:val="20"/>
          <w:lang w:val="en-GB"/>
        </w:rPr>
      </w:pPr>
      <w:r w:rsidRPr="00AA09AA">
        <w:rPr>
          <w:rFonts w:ascii="Verdana" w:hAnsi="Verdana"/>
          <w:sz w:val="20"/>
          <w:lang w:val="en-GB"/>
        </w:rPr>
        <w:t>the effect is transmitted to ultimate borrowers;</w:t>
      </w:r>
    </w:p>
    <w:p w:rsidR="00D56CBF" w:rsidRPr="00AA09AA" w:rsidRDefault="00D56CBF" w:rsidP="00C000D7">
      <w:pPr>
        <w:pStyle w:val="ListParagraph"/>
        <w:numPr>
          <w:ilvl w:val="0"/>
          <w:numId w:val="46"/>
        </w:numPr>
        <w:spacing w:after="120" w:line="264" w:lineRule="auto"/>
        <w:ind w:left="714" w:hanging="357"/>
        <w:contextualSpacing w:val="0"/>
        <w:rPr>
          <w:rFonts w:ascii="Verdana" w:hAnsi="Verdana"/>
          <w:sz w:val="20"/>
          <w:lang w:val="en-GB"/>
        </w:rPr>
      </w:pPr>
      <w:r w:rsidRPr="00AA09AA">
        <w:rPr>
          <w:rFonts w:ascii="Verdana" w:hAnsi="Verdana"/>
          <w:sz w:val="20"/>
          <w:lang w:val="en-GB"/>
        </w:rPr>
        <w:t>the reduction is large enough to raise demand.</w:t>
      </w:r>
    </w:p>
    <w:p w:rsidR="00D56CBF" w:rsidRPr="00AA09AA" w:rsidRDefault="00D56CBF" w:rsidP="00C000D7">
      <w:pPr>
        <w:spacing w:before="100" w:after="120" w:line="264" w:lineRule="auto"/>
        <w:rPr>
          <w:rFonts w:ascii="Verdana" w:hAnsi="Verdana"/>
          <w:sz w:val="20"/>
          <w:lang w:val="en-GB"/>
        </w:rPr>
      </w:pPr>
      <w:r w:rsidRPr="00AA09AA">
        <w:rPr>
          <w:rFonts w:ascii="Verdana" w:hAnsi="Verdana"/>
          <w:sz w:val="20"/>
          <w:lang w:val="en-GB"/>
        </w:rPr>
        <w:t>None of these conditions is satisfied. Despite large reductions in country-specific spreads, national credit markets remain fragmented. As Figure 1 makes clear, the recent interest rate cuts are essentially symbolic. In fact, the main change in the cost of credit comes from</w:t>
      </w:r>
      <w:r w:rsidR="00FD00BD" w:rsidRPr="00AA09AA">
        <w:rPr>
          <w:rFonts w:ascii="Verdana" w:hAnsi="Verdana"/>
          <w:sz w:val="20"/>
          <w:lang w:val="en-GB"/>
        </w:rPr>
        <w:t xml:space="preserve"> the reduction of risk premia on sovereign debts following the OMT programme</w:t>
      </w:r>
      <w:r w:rsidR="004641A9">
        <w:rPr>
          <w:rStyle w:val="FootnoteReference"/>
          <w:rFonts w:ascii="Verdana" w:hAnsi="Verdana"/>
          <w:sz w:val="20"/>
          <w:lang w:val="en-GB"/>
        </w:rPr>
        <w:footnoteReference w:id="3"/>
      </w:r>
      <w:r w:rsidR="00FD00BD" w:rsidRPr="00AA09AA">
        <w:rPr>
          <w:rFonts w:ascii="Verdana" w:hAnsi="Verdana"/>
          <w:sz w:val="20"/>
          <w:lang w:val="en-GB"/>
        </w:rPr>
        <w:t xml:space="preserve">. </w:t>
      </w:r>
      <w:r w:rsidR="00611EED" w:rsidRPr="00AA09AA">
        <w:rPr>
          <w:rFonts w:ascii="Verdana" w:hAnsi="Verdana"/>
          <w:sz w:val="20"/>
          <w:lang w:val="en-GB"/>
        </w:rPr>
        <w:t>This can be seen from Figure 5, which displays the ECB refinancing rate along with the highest and the lowest nationa</w:t>
      </w:r>
      <w:r w:rsidR="00E7593F" w:rsidRPr="00AA09AA">
        <w:rPr>
          <w:rFonts w:ascii="Verdana" w:hAnsi="Verdana"/>
          <w:sz w:val="20"/>
          <w:lang w:val="en-GB"/>
        </w:rPr>
        <w:t>l average interest rates charged</w:t>
      </w:r>
      <w:r w:rsidR="00611EED" w:rsidRPr="00AA09AA">
        <w:rPr>
          <w:rFonts w:ascii="Verdana" w:hAnsi="Verdana"/>
          <w:sz w:val="20"/>
          <w:lang w:val="en-GB"/>
        </w:rPr>
        <w:t xml:space="preserve"> by banks to households for house loans. The figure confirms the opening of a large gap across countries starting in</w:t>
      </w:r>
      <w:r w:rsidR="00E7593F" w:rsidRPr="00AA09AA">
        <w:rPr>
          <w:rFonts w:ascii="Verdana" w:hAnsi="Verdana"/>
          <w:sz w:val="20"/>
          <w:lang w:val="en-GB"/>
        </w:rPr>
        <w:t xml:space="preserve"> 2009. The gap has declined</w:t>
      </w:r>
      <w:r w:rsidR="00611EED" w:rsidRPr="00AA09AA">
        <w:rPr>
          <w:rFonts w:ascii="Verdana" w:hAnsi="Verdana"/>
          <w:sz w:val="20"/>
          <w:lang w:val="en-GB"/>
        </w:rPr>
        <w:t xml:space="preserve"> somewhat after the adoption of the OMT programme, but much less than the reduction on risk premia on sovereign bonds. This confirms that the Eurozone remains financially fragmented. Another important observation is that</w:t>
      </w:r>
      <w:r w:rsidR="00E7593F" w:rsidRPr="00AA09AA">
        <w:rPr>
          <w:rFonts w:ascii="Verdana" w:hAnsi="Verdana"/>
          <w:sz w:val="20"/>
          <w:lang w:val="en-GB"/>
        </w:rPr>
        <w:t>, once it has moved close to the zero lower bound,</w:t>
      </w:r>
      <w:r w:rsidR="00611EED" w:rsidRPr="00AA09AA">
        <w:rPr>
          <w:rFonts w:ascii="Verdana" w:hAnsi="Verdana"/>
          <w:sz w:val="20"/>
          <w:lang w:val="en-GB"/>
        </w:rPr>
        <w:t xml:space="preserve"> the policy rate has stopped to exert a clear influence on the interest rates charge</w:t>
      </w:r>
      <w:r w:rsidR="00E7593F" w:rsidRPr="00AA09AA">
        <w:rPr>
          <w:rFonts w:ascii="Verdana" w:hAnsi="Verdana"/>
          <w:sz w:val="20"/>
          <w:lang w:val="en-GB"/>
        </w:rPr>
        <w:t>d by banks to private customers</w:t>
      </w:r>
      <w:r w:rsidR="00611EED" w:rsidRPr="00AA09AA">
        <w:rPr>
          <w:rFonts w:ascii="Verdana" w:hAnsi="Verdana"/>
          <w:sz w:val="20"/>
          <w:lang w:val="en-GB"/>
        </w:rPr>
        <w:t xml:space="preserve">. </w:t>
      </w:r>
      <w:r w:rsidR="00C70C96" w:rsidRPr="00AA09AA">
        <w:rPr>
          <w:rFonts w:ascii="Verdana" w:hAnsi="Verdana"/>
          <w:sz w:val="20"/>
          <w:lang w:val="en-GB"/>
        </w:rPr>
        <w:t>Loans to private corporations provide a very similar picture</w:t>
      </w:r>
      <w:r w:rsidR="00E7593F" w:rsidRPr="00AA09AA">
        <w:rPr>
          <w:rFonts w:ascii="Verdana" w:hAnsi="Verdana"/>
          <w:sz w:val="20"/>
          <w:lang w:val="en-GB"/>
        </w:rPr>
        <w:t>.</w:t>
      </w:r>
      <w:r w:rsidR="00C70C96" w:rsidRPr="00AA09AA">
        <w:rPr>
          <w:rFonts w:ascii="Verdana" w:hAnsi="Verdana"/>
          <w:sz w:val="20"/>
          <w:lang w:val="en-GB"/>
        </w:rPr>
        <w:t xml:space="preserve"> </w:t>
      </w:r>
      <w:r w:rsidR="00611EED" w:rsidRPr="00AA09AA">
        <w:rPr>
          <w:rFonts w:ascii="Verdana" w:hAnsi="Verdana"/>
          <w:sz w:val="20"/>
          <w:lang w:val="en-GB"/>
        </w:rPr>
        <w:t>Clearly, the latest policy changes will not help restart bank lending to the private sector.</w:t>
      </w:r>
      <w:r w:rsidR="00C70C96" w:rsidRPr="00AA09AA">
        <w:rPr>
          <w:rFonts w:ascii="Verdana" w:hAnsi="Verdana"/>
          <w:sz w:val="20"/>
          <w:lang w:val="en-GB"/>
        </w:rPr>
        <w:t xml:space="preserve"> </w:t>
      </w:r>
    </w:p>
    <w:p w:rsidR="00D56CBF" w:rsidRPr="00AA09AA" w:rsidRDefault="00D56CBF" w:rsidP="000E292F">
      <w:pPr>
        <w:spacing w:after="120" w:line="264" w:lineRule="auto"/>
        <w:rPr>
          <w:rFonts w:ascii="Verdana" w:hAnsi="Verdana"/>
          <w:sz w:val="20"/>
          <w:lang w:val="en-GB"/>
        </w:rPr>
      </w:pPr>
    </w:p>
    <w:p w:rsidR="00BA5544" w:rsidRPr="00AA09AA" w:rsidRDefault="00BA554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ascii="Verdana" w:hAnsi="Verdana"/>
          <w:sz w:val="20"/>
          <w:lang w:val="en-GB"/>
        </w:rPr>
      </w:pPr>
      <w:r w:rsidRPr="00AA09AA">
        <w:rPr>
          <w:rFonts w:ascii="Verdana" w:hAnsi="Verdana"/>
          <w:sz w:val="20"/>
          <w:lang w:val="en-GB"/>
        </w:rPr>
        <w:br w:type="page"/>
      </w:r>
    </w:p>
    <w:p w:rsidR="00FD00BD" w:rsidRPr="00AA09AA" w:rsidRDefault="00FD00BD" w:rsidP="000E292F">
      <w:pPr>
        <w:spacing w:after="120" w:line="264" w:lineRule="auto"/>
        <w:rPr>
          <w:rFonts w:ascii="Verdana" w:hAnsi="Verdana"/>
          <w:sz w:val="20"/>
          <w:lang w:val="en-GB"/>
        </w:rPr>
      </w:pPr>
    </w:p>
    <w:p w:rsidR="00FD00BD" w:rsidRPr="00AA09AA" w:rsidRDefault="00FD00BD" w:rsidP="00C000D7">
      <w:pPr>
        <w:pStyle w:val="Caption"/>
      </w:pPr>
      <w:r w:rsidRPr="00AA09AA">
        <w:rPr>
          <w:noProof/>
          <w:lang w:val="en-US" w:eastAsia="en-US"/>
        </w:rPr>
        <w:drawing>
          <wp:anchor distT="0" distB="0" distL="114300" distR="114300" simplePos="0" relativeHeight="251669504" behindDoc="0" locked="0" layoutInCell="1" allowOverlap="1">
            <wp:simplePos x="0" y="0"/>
            <wp:positionH relativeFrom="column">
              <wp:posOffset>1270</wp:posOffset>
            </wp:positionH>
            <wp:positionV relativeFrom="paragraph">
              <wp:posOffset>245745</wp:posOffset>
            </wp:positionV>
            <wp:extent cx="3208655" cy="2724150"/>
            <wp:effectExtent l="25400" t="0" r="0" b="0"/>
            <wp:wrapTight wrapText="bothSides">
              <wp:wrapPolygon edited="0">
                <wp:start x="-171" y="0"/>
                <wp:lineTo x="-171" y="21550"/>
                <wp:lineTo x="21544" y="21550"/>
                <wp:lineTo x="21544" y="0"/>
                <wp:lineTo x="-171"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208655" cy="2724150"/>
                    </a:xfrm>
                    <a:prstGeom prst="rect">
                      <a:avLst/>
                    </a:prstGeom>
                    <a:noFill/>
                    <a:ln w="9525">
                      <a:noFill/>
                      <a:miter lim="800000"/>
                      <a:headEnd/>
                      <a:tailEnd/>
                    </a:ln>
                  </pic:spPr>
                </pic:pic>
              </a:graphicData>
            </a:graphic>
          </wp:anchor>
        </w:drawing>
      </w:r>
      <w:r w:rsidR="00C000D7" w:rsidRPr="00AA09AA">
        <w:t xml:space="preserve">Figure </w:t>
      </w:r>
      <w:r w:rsidR="00460E72">
        <w:fldChar w:fldCharType="begin"/>
      </w:r>
      <w:r w:rsidR="007D6C33">
        <w:instrText xml:space="preserve"> SEQ Figure \* ARABIC </w:instrText>
      </w:r>
      <w:r w:rsidR="00460E72">
        <w:fldChar w:fldCharType="separate"/>
      </w:r>
      <w:r w:rsidR="00160323" w:rsidRPr="00AA09AA">
        <w:rPr>
          <w:noProof/>
        </w:rPr>
        <w:t>5</w:t>
      </w:r>
      <w:r w:rsidR="00460E72">
        <w:rPr>
          <w:noProof/>
        </w:rPr>
        <w:fldChar w:fldCharType="end"/>
      </w:r>
      <w:r w:rsidR="00C000D7" w:rsidRPr="00AA09AA">
        <w:t>:</w:t>
      </w:r>
      <w:r w:rsidR="00C000D7" w:rsidRPr="00AA09AA">
        <w:tab/>
        <w:t>Interest rates on house loans within the Eurozone</w:t>
      </w: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sz w:val="20"/>
          <w:lang w:val="en-GB"/>
        </w:rPr>
      </w:pPr>
    </w:p>
    <w:p w:rsidR="00FD00BD" w:rsidRPr="00AA09AA" w:rsidRDefault="00FD00BD" w:rsidP="000E292F">
      <w:pPr>
        <w:spacing w:after="120" w:line="264" w:lineRule="auto"/>
        <w:rPr>
          <w:rFonts w:ascii="Verdana" w:hAnsi="Verdana"/>
          <w:b/>
          <w:sz w:val="16"/>
          <w:szCs w:val="16"/>
          <w:lang w:val="en-GB"/>
        </w:rPr>
      </w:pPr>
      <w:r w:rsidRPr="00AA09AA">
        <w:rPr>
          <w:rFonts w:ascii="Verdana" w:hAnsi="Verdana"/>
          <w:b/>
          <w:sz w:val="16"/>
          <w:szCs w:val="16"/>
          <w:lang w:val="en-GB"/>
        </w:rPr>
        <w:t xml:space="preserve">Note: </w:t>
      </w:r>
      <w:r w:rsidRPr="00AA09AA">
        <w:rPr>
          <w:rFonts w:ascii="Verdana" w:hAnsi="Verdana"/>
          <w:sz w:val="16"/>
          <w:szCs w:val="16"/>
          <w:lang w:val="en-GB"/>
        </w:rPr>
        <w:t>Maximum and minimum interest rates across Eurozone countries.</w:t>
      </w:r>
    </w:p>
    <w:p w:rsidR="00FD00BD" w:rsidRPr="00AA09AA" w:rsidRDefault="00FD00BD" w:rsidP="000E292F">
      <w:pPr>
        <w:spacing w:after="120" w:line="264" w:lineRule="auto"/>
        <w:rPr>
          <w:rFonts w:ascii="Verdana" w:hAnsi="Verdana"/>
          <w:b/>
          <w:sz w:val="16"/>
          <w:szCs w:val="16"/>
          <w:lang w:val="en-GB"/>
        </w:rPr>
      </w:pPr>
      <w:r w:rsidRPr="00AA09AA">
        <w:rPr>
          <w:rFonts w:ascii="Verdana" w:hAnsi="Verdana"/>
          <w:b/>
          <w:sz w:val="16"/>
          <w:szCs w:val="16"/>
          <w:lang w:val="en-GB"/>
        </w:rPr>
        <w:t xml:space="preserve">Source: </w:t>
      </w:r>
      <w:r w:rsidRPr="00AA09AA">
        <w:rPr>
          <w:rFonts w:ascii="Verdana" w:hAnsi="Verdana"/>
          <w:sz w:val="16"/>
          <w:szCs w:val="16"/>
          <w:lang w:val="en-GB"/>
        </w:rPr>
        <w:t>ECB</w:t>
      </w:r>
    </w:p>
    <w:p w:rsidR="00FD00BD" w:rsidRPr="00AA09AA" w:rsidRDefault="00FD00BD" w:rsidP="000E292F">
      <w:pPr>
        <w:spacing w:after="120" w:line="264" w:lineRule="auto"/>
        <w:rPr>
          <w:rFonts w:ascii="Verdana" w:hAnsi="Verdana"/>
          <w:sz w:val="20"/>
          <w:lang w:val="en-GB"/>
        </w:rPr>
      </w:pPr>
    </w:p>
    <w:p w:rsidR="0086100F" w:rsidRPr="00AA09AA" w:rsidRDefault="0086100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264" w:lineRule="auto"/>
        <w:jc w:val="left"/>
        <w:rPr>
          <w:rFonts w:ascii="Verdana" w:hAnsi="Verdana"/>
          <w:b/>
          <w:bCs/>
          <w:caps/>
          <w:color w:val="000080"/>
          <w:kern w:val="28"/>
          <w:sz w:val="28"/>
          <w:lang w:val="en-GB"/>
        </w:rPr>
      </w:pPr>
      <w:r w:rsidRPr="00AA09AA">
        <w:rPr>
          <w:lang w:val="en-GB"/>
        </w:rPr>
        <w:br w:type="page"/>
      </w:r>
    </w:p>
    <w:p w:rsidR="00ED2E37" w:rsidRPr="00AA09AA" w:rsidRDefault="0086100F" w:rsidP="00C000D7">
      <w:pPr>
        <w:pStyle w:val="StyleHeading1Verdana14ptBoldDarkBlueAllcaps"/>
      </w:pPr>
      <w:bookmarkStart w:id="26" w:name="_Toc398554027"/>
      <w:r w:rsidRPr="00AA09AA">
        <w:t>BOND PURCHASES</w:t>
      </w:r>
      <w:bookmarkEnd w:id="26"/>
    </w:p>
    <w:p w:rsidR="00ED2E37" w:rsidRPr="00AA09AA" w:rsidRDefault="00450CB4" w:rsidP="000E292F">
      <w:pPr>
        <w:spacing w:after="120" w:line="264" w:lineRule="auto"/>
        <w:rPr>
          <w:rFonts w:ascii="Verdana" w:hAnsi="Verdana"/>
          <w:sz w:val="20"/>
          <w:lang w:val="en-GB"/>
        </w:rPr>
      </w:pPr>
      <w:r w:rsidRPr="00AA09AA">
        <w:rPr>
          <w:rFonts w:ascii="Verdana" w:hAnsi="Verdana"/>
          <w:sz w:val="20"/>
          <w:lang w:val="en-GB"/>
        </w:rPr>
        <w:t xml:space="preserve">Given how little </w:t>
      </w:r>
      <w:r w:rsidR="00091550" w:rsidRPr="00AA09AA">
        <w:rPr>
          <w:rFonts w:ascii="Verdana" w:hAnsi="Verdana"/>
          <w:sz w:val="20"/>
          <w:lang w:val="en-GB"/>
        </w:rPr>
        <w:t xml:space="preserve">difference </w:t>
      </w:r>
      <w:r w:rsidRPr="00AA09AA">
        <w:rPr>
          <w:rFonts w:ascii="Verdana" w:hAnsi="Verdana"/>
          <w:sz w:val="20"/>
          <w:lang w:val="en-GB"/>
        </w:rPr>
        <w:t>the interest rate decisions can make, the ECB has announced two addi</w:t>
      </w:r>
      <w:r w:rsidR="002C3287" w:rsidRPr="00AA09AA">
        <w:rPr>
          <w:rFonts w:ascii="Verdana" w:hAnsi="Verdana"/>
          <w:sz w:val="20"/>
          <w:lang w:val="en-GB"/>
        </w:rPr>
        <w:t>tional non-standard actions. They are analy</w:t>
      </w:r>
      <w:r w:rsidR="00AA09AA">
        <w:rPr>
          <w:rFonts w:ascii="Verdana" w:hAnsi="Verdana"/>
          <w:sz w:val="20"/>
          <w:lang w:val="en-GB"/>
        </w:rPr>
        <w:t>s</w:t>
      </w:r>
      <w:r w:rsidR="002C3287" w:rsidRPr="00AA09AA">
        <w:rPr>
          <w:rFonts w:ascii="Verdana" w:hAnsi="Verdana"/>
          <w:sz w:val="20"/>
          <w:lang w:val="en-GB"/>
        </w:rPr>
        <w:t xml:space="preserve">ed below. </w:t>
      </w:r>
    </w:p>
    <w:p w:rsidR="00ED2E37" w:rsidRPr="00AA09AA" w:rsidRDefault="00412654" w:rsidP="00BA5544">
      <w:pPr>
        <w:pStyle w:val="EUPHeading2"/>
      </w:pPr>
      <w:bookmarkStart w:id="27" w:name="_Toc398554028"/>
      <w:r w:rsidRPr="00AA09AA">
        <w:t>Targeted Long Term Refinancing Operations (</w:t>
      </w:r>
      <w:r w:rsidR="00ED2E37" w:rsidRPr="00AA09AA">
        <w:t>TLTRO</w:t>
      </w:r>
      <w:r w:rsidRPr="00AA09AA">
        <w:t>)</w:t>
      </w:r>
      <w:bookmarkEnd w:id="27"/>
    </w:p>
    <w:p w:rsidR="006D55A3" w:rsidRPr="00AA09AA" w:rsidRDefault="002C3287" w:rsidP="000E292F">
      <w:pPr>
        <w:spacing w:after="120" w:line="264" w:lineRule="auto"/>
        <w:rPr>
          <w:rFonts w:ascii="Verdana" w:hAnsi="Verdana"/>
          <w:sz w:val="20"/>
          <w:lang w:val="en-GB"/>
        </w:rPr>
      </w:pPr>
      <w:r w:rsidRPr="00AA09AA">
        <w:rPr>
          <w:rFonts w:ascii="Verdana" w:hAnsi="Verdana"/>
          <w:sz w:val="20"/>
          <w:lang w:val="en-GB"/>
        </w:rPr>
        <w:t>LTROs are not new. During the crisis</w:t>
      </w:r>
      <w:r w:rsidR="001B78F2" w:rsidRPr="00AA09AA">
        <w:rPr>
          <w:rFonts w:ascii="Verdana" w:hAnsi="Verdana"/>
          <w:sz w:val="20"/>
          <w:lang w:val="en-GB"/>
        </w:rPr>
        <w:t>, the ECB</w:t>
      </w:r>
      <w:r w:rsidRPr="00AA09AA">
        <w:rPr>
          <w:rFonts w:ascii="Verdana" w:hAnsi="Verdana"/>
          <w:sz w:val="20"/>
          <w:lang w:val="en-GB"/>
        </w:rPr>
        <w:t xml:space="preserve"> has gradually extended its l</w:t>
      </w:r>
      <w:r w:rsidR="0043356A" w:rsidRPr="00AA09AA">
        <w:rPr>
          <w:rFonts w:ascii="Verdana" w:hAnsi="Verdana"/>
          <w:sz w:val="20"/>
          <w:lang w:val="en-GB"/>
        </w:rPr>
        <w:t>oa</w:t>
      </w:r>
      <w:r w:rsidRPr="00AA09AA">
        <w:rPr>
          <w:rFonts w:ascii="Verdana" w:hAnsi="Verdana"/>
          <w:sz w:val="20"/>
          <w:lang w:val="en-GB"/>
        </w:rPr>
        <w:t xml:space="preserve">ns from the very short term to three years. The intent, then, was to </w:t>
      </w:r>
      <w:r w:rsidR="001B78F2" w:rsidRPr="00AA09AA">
        <w:rPr>
          <w:rFonts w:ascii="Verdana" w:hAnsi="Verdana"/>
          <w:sz w:val="20"/>
          <w:lang w:val="en-GB"/>
        </w:rPr>
        <w:t xml:space="preserve">reduce fragmentation and </w:t>
      </w:r>
      <w:r w:rsidR="0043356A" w:rsidRPr="00AA09AA">
        <w:rPr>
          <w:rFonts w:ascii="Verdana" w:hAnsi="Verdana"/>
          <w:sz w:val="20"/>
          <w:lang w:val="en-GB"/>
        </w:rPr>
        <w:t xml:space="preserve">to </w:t>
      </w:r>
      <w:r w:rsidRPr="00AA09AA">
        <w:rPr>
          <w:rFonts w:ascii="Verdana" w:hAnsi="Verdana"/>
          <w:sz w:val="20"/>
          <w:lang w:val="en-GB"/>
        </w:rPr>
        <w:t>stabilize funding for banks badly hurt by the crisis</w:t>
      </w:r>
      <w:r w:rsidR="001B78F2" w:rsidRPr="00AA09AA">
        <w:rPr>
          <w:rFonts w:ascii="Verdana" w:hAnsi="Verdana"/>
          <w:sz w:val="20"/>
          <w:lang w:val="en-GB"/>
        </w:rPr>
        <w:t xml:space="preserve">, especially those in the worst hit countries. The new programme fits into the general objective of restarting lending activity. </w:t>
      </w:r>
      <w:r w:rsidR="00BE7BA9" w:rsidRPr="00AA09AA">
        <w:rPr>
          <w:rFonts w:ascii="Verdana" w:hAnsi="Verdana"/>
          <w:sz w:val="20"/>
          <w:lang w:val="en-GB"/>
        </w:rPr>
        <w:t>Loans are offered to bank</w:t>
      </w:r>
      <w:r w:rsidR="00BC2696" w:rsidRPr="00AA09AA">
        <w:rPr>
          <w:rFonts w:ascii="Verdana" w:hAnsi="Verdana"/>
          <w:sz w:val="20"/>
          <w:lang w:val="en-GB"/>
        </w:rPr>
        <w:t>s in proportion</w:t>
      </w:r>
      <w:r w:rsidR="00BE7BA9" w:rsidRPr="00AA09AA">
        <w:rPr>
          <w:rFonts w:ascii="Verdana" w:hAnsi="Verdana"/>
          <w:sz w:val="20"/>
          <w:lang w:val="en-GB"/>
        </w:rPr>
        <w:t xml:space="preserve"> to their own lending to the private sector, housing loans being excluded. In the first wave, to occur in September and December 2014, banks may borrow from the ECB up to 7% of their loan portfolio as of April 2014. In the second wave, to take place quarterly between March 2015 and June 2016, they will be able to borrow up to three times the amounts that they </w:t>
      </w:r>
      <w:r w:rsidR="00873DB0" w:rsidRPr="00AA09AA">
        <w:rPr>
          <w:rFonts w:ascii="Verdana" w:hAnsi="Verdana"/>
          <w:sz w:val="20"/>
          <w:lang w:val="en-GB"/>
        </w:rPr>
        <w:t xml:space="preserve">will </w:t>
      </w:r>
      <w:r w:rsidR="00BE7BA9" w:rsidRPr="00AA09AA">
        <w:rPr>
          <w:rFonts w:ascii="Verdana" w:hAnsi="Verdana"/>
          <w:sz w:val="20"/>
          <w:lang w:val="en-GB"/>
        </w:rPr>
        <w:t>have lent since</w:t>
      </w:r>
      <w:r w:rsidR="006D55A3" w:rsidRPr="00AA09AA">
        <w:rPr>
          <w:rFonts w:ascii="Verdana" w:hAnsi="Verdana"/>
          <w:sz w:val="20"/>
          <w:lang w:val="en-GB"/>
        </w:rPr>
        <w:t xml:space="preserve"> April 2014. All loans are due to mature in September 2018. </w:t>
      </w:r>
    </w:p>
    <w:p w:rsidR="009B1FE5" w:rsidRPr="00AA09AA" w:rsidRDefault="009B1FE5" w:rsidP="000E292F">
      <w:pPr>
        <w:spacing w:after="120" w:line="264" w:lineRule="auto"/>
        <w:rPr>
          <w:rFonts w:ascii="Verdana" w:hAnsi="Verdana"/>
          <w:sz w:val="20"/>
          <w:lang w:val="en-GB"/>
        </w:rPr>
      </w:pPr>
      <w:r w:rsidRPr="00AA09AA">
        <w:rPr>
          <w:rFonts w:ascii="Verdana" w:hAnsi="Verdana"/>
          <w:sz w:val="20"/>
          <w:lang w:val="en-GB"/>
        </w:rPr>
        <w:t>As previous LTRO</w:t>
      </w:r>
      <w:r w:rsidR="00873DB0" w:rsidRPr="00AA09AA">
        <w:rPr>
          <w:rFonts w:ascii="Verdana" w:hAnsi="Verdana"/>
          <w:sz w:val="20"/>
          <w:lang w:val="en-GB"/>
        </w:rPr>
        <w:t>s, the new ones</w:t>
      </w:r>
      <w:r w:rsidRPr="00AA09AA">
        <w:rPr>
          <w:rFonts w:ascii="Verdana" w:hAnsi="Verdana"/>
          <w:sz w:val="20"/>
          <w:lang w:val="en-GB"/>
        </w:rPr>
        <w:t xml:space="preserve"> are likely to attract banks from the periphery that face large borrowing costs, hence reducing fragmentation. The targeting part, directly linking the programme to bank lending activity, well fit</w:t>
      </w:r>
      <w:r w:rsidR="00873DB0" w:rsidRPr="00AA09AA">
        <w:rPr>
          <w:rFonts w:ascii="Verdana" w:hAnsi="Verdana"/>
          <w:sz w:val="20"/>
          <w:lang w:val="en-GB"/>
        </w:rPr>
        <w:t>s</w:t>
      </w:r>
      <w:r w:rsidRPr="00AA09AA">
        <w:rPr>
          <w:rFonts w:ascii="Verdana" w:hAnsi="Verdana"/>
          <w:sz w:val="20"/>
          <w:lang w:val="en-GB"/>
        </w:rPr>
        <w:t xml:space="preserve"> the objectives. Various safeguards are introduced to prevent abuse of the system by banks that do not increase lending to the corporate private sector. On the other hand, the programme face</w:t>
      </w:r>
      <w:r w:rsidR="00AA09AA">
        <w:rPr>
          <w:rFonts w:ascii="Verdana" w:hAnsi="Verdana"/>
          <w:sz w:val="20"/>
          <w:lang w:val="en-GB"/>
        </w:rPr>
        <w:t>s</w:t>
      </w:r>
      <w:r w:rsidRPr="00AA09AA">
        <w:rPr>
          <w:rFonts w:ascii="Verdana" w:hAnsi="Verdana"/>
          <w:sz w:val="20"/>
          <w:lang w:val="en-GB"/>
        </w:rPr>
        <w:t xml:space="preserve"> </w:t>
      </w:r>
      <w:r w:rsidR="004B0E58" w:rsidRPr="00AA09AA">
        <w:rPr>
          <w:rFonts w:ascii="Verdana" w:hAnsi="Verdana"/>
          <w:sz w:val="20"/>
          <w:lang w:val="en-GB"/>
        </w:rPr>
        <w:t>four main</w:t>
      </w:r>
      <w:r w:rsidRPr="00AA09AA">
        <w:rPr>
          <w:rFonts w:ascii="Verdana" w:hAnsi="Verdana"/>
          <w:sz w:val="20"/>
          <w:lang w:val="en-GB"/>
        </w:rPr>
        <w:t xml:space="preserve"> limitations: </w:t>
      </w:r>
    </w:p>
    <w:p w:rsidR="009B1FE5" w:rsidRPr="00AA09AA" w:rsidRDefault="009B1FE5" w:rsidP="00BA5544">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The existing stock of lending, the basis of the first wave allocations, is large in the large non-crisis countries. This will not help much with fragmentation. The second wave, however, is a clear encouragement to lend, independently of the starting position and stands to benefit banks most interested</w:t>
      </w:r>
      <w:r w:rsidR="00873DB0" w:rsidRPr="00AA09AA">
        <w:rPr>
          <w:rFonts w:ascii="Verdana" w:eastAsia="Calibri" w:hAnsi="Verdana"/>
          <w:sz w:val="20"/>
          <w:lang w:val="en-GB" w:eastAsia="en-US"/>
        </w:rPr>
        <w:t xml:space="preserve">. It remains to be seen whether this </w:t>
      </w:r>
      <w:r w:rsidR="00CA688F" w:rsidRPr="00AA09AA">
        <w:rPr>
          <w:rFonts w:ascii="Verdana" w:eastAsia="Calibri" w:hAnsi="Verdana"/>
          <w:sz w:val="20"/>
          <w:lang w:val="en-GB" w:eastAsia="en-US"/>
        </w:rPr>
        <w:t xml:space="preserve">programme </w:t>
      </w:r>
      <w:r w:rsidR="00873DB0" w:rsidRPr="00AA09AA">
        <w:rPr>
          <w:rFonts w:ascii="Verdana" w:eastAsia="Calibri" w:hAnsi="Verdana"/>
          <w:sz w:val="20"/>
          <w:lang w:val="en-GB" w:eastAsia="en-US"/>
        </w:rPr>
        <w:t xml:space="preserve">will affect </w:t>
      </w:r>
      <w:r w:rsidR="00CA688F" w:rsidRPr="00AA09AA">
        <w:rPr>
          <w:rFonts w:ascii="Verdana" w:eastAsia="Calibri" w:hAnsi="Verdana"/>
          <w:sz w:val="20"/>
          <w:lang w:val="en-GB" w:eastAsia="en-US"/>
        </w:rPr>
        <w:t xml:space="preserve">most </w:t>
      </w:r>
      <w:r w:rsidR="00873DB0" w:rsidRPr="00AA09AA">
        <w:rPr>
          <w:rFonts w:ascii="Verdana" w:eastAsia="Calibri" w:hAnsi="Verdana"/>
          <w:sz w:val="20"/>
          <w:lang w:val="en-GB" w:eastAsia="en-US"/>
        </w:rPr>
        <w:t>the crisis countries</w:t>
      </w:r>
      <w:r w:rsidRPr="00AA09AA">
        <w:rPr>
          <w:rFonts w:ascii="Verdana" w:eastAsia="Calibri" w:hAnsi="Verdana"/>
          <w:sz w:val="20"/>
          <w:lang w:val="en-GB" w:eastAsia="en-US"/>
        </w:rPr>
        <w:t xml:space="preserve">. </w:t>
      </w:r>
    </w:p>
    <w:p w:rsidR="009B1FE5" w:rsidRPr="00AA09AA" w:rsidRDefault="009B1FE5" w:rsidP="00BA5544">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The provisions against participating </w:t>
      </w:r>
      <w:r w:rsidR="00A81577" w:rsidRPr="00AA09AA">
        <w:rPr>
          <w:rFonts w:ascii="Verdana" w:eastAsia="Calibri" w:hAnsi="Verdana"/>
          <w:sz w:val="20"/>
          <w:lang w:val="en-GB" w:eastAsia="en-US"/>
        </w:rPr>
        <w:t xml:space="preserve">in the programme </w:t>
      </w:r>
      <w:r w:rsidRPr="00AA09AA">
        <w:rPr>
          <w:rFonts w:ascii="Verdana" w:eastAsia="Calibri" w:hAnsi="Verdana"/>
          <w:sz w:val="20"/>
          <w:lang w:val="en-GB" w:eastAsia="en-US"/>
        </w:rPr>
        <w:t xml:space="preserve">and yet not </w:t>
      </w:r>
      <w:r w:rsidR="00A81577" w:rsidRPr="00AA09AA">
        <w:rPr>
          <w:rFonts w:ascii="Verdana" w:eastAsia="Calibri" w:hAnsi="Verdana"/>
          <w:sz w:val="20"/>
          <w:lang w:val="en-GB" w:eastAsia="en-US"/>
        </w:rPr>
        <w:t>rais</w:t>
      </w:r>
      <w:r w:rsidR="00CF5D53">
        <w:rPr>
          <w:rFonts w:ascii="Verdana" w:eastAsia="Calibri" w:hAnsi="Verdana"/>
          <w:sz w:val="20"/>
          <w:lang w:val="en-GB" w:eastAsia="en-US"/>
        </w:rPr>
        <w:t>e</w:t>
      </w:r>
      <w:r w:rsidR="00A81577" w:rsidRPr="00AA09AA">
        <w:rPr>
          <w:rFonts w:ascii="Verdana" w:eastAsia="Calibri" w:hAnsi="Verdana"/>
          <w:sz w:val="20"/>
          <w:lang w:val="en-GB" w:eastAsia="en-US"/>
        </w:rPr>
        <w:t xml:space="preserve"> </w:t>
      </w:r>
      <w:r w:rsidRPr="00AA09AA">
        <w:rPr>
          <w:rFonts w:ascii="Verdana" w:eastAsia="Calibri" w:hAnsi="Verdana"/>
          <w:sz w:val="20"/>
          <w:lang w:val="en-GB" w:eastAsia="en-US"/>
        </w:rPr>
        <w:t xml:space="preserve">lending are weak. Banks that do not increase lending can still hold the borrowed funds for two years and use them for various </w:t>
      </w:r>
      <w:r w:rsidR="00A81577" w:rsidRPr="00AA09AA">
        <w:rPr>
          <w:rFonts w:ascii="Verdana" w:eastAsia="Calibri" w:hAnsi="Verdana"/>
          <w:sz w:val="20"/>
          <w:lang w:val="en-GB" w:eastAsia="en-US"/>
        </w:rPr>
        <w:t xml:space="preserve">potentially profitable </w:t>
      </w:r>
      <w:r w:rsidRPr="00AA09AA">
        <w:rPr>
          <w:rFonts w:ascii="Verdana" w:eastAsia="Calibri" w:hAnsi="Verdana"/>
          <w:sz w:val="20"/>
          <w:lang w:val="en-GB" w:eastAsia="en-US"/>
        </w:rPr>
        <w:t xml:space="preserve">carry trade operations, including acquiring public bonds or assets issued outside the Eurozone.  </w:t>
      </w:r>
    </w:p>
    <w:p w:rsidR="004B0E58" w:rsidRPr="00AA09AA" w:rsidRDefault="004B0E58" w:rsidP="00BA5544">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Banks in need of cheap funding may be tempted to make risky loans. “Gambling for resurrection” is a classic step towards bank fragility. The ECB will take some counter-party risk if the collateral is weak. </w:t>
      </w:r>
    </w:p>
    <w:p w:rsidR="001B78F2" w:rsidRPr="00AA09AA" w:rsidRDefault="009B1FE5" w:rsidP="00BA5544">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The most crucial limitation is that the programme assumes that bank lending is held back by a lack of liquidity. As noted above, there is little evidence that it is the </w:t>
      </w:r>
      <w:r w:rsidR="004B0E58" w:rsidRPr="00AA09AA">
        <w:rPr>
          <w:rFonts w:ascii="Verdana" w:eastAsia="Calibri" w:hAnsi="Verdana"/>
          <w:sz w:val="20"/>
          <w:lang w:val="en-GB" w:eastAsia="en-US"/>
        </w:rPr>
        <w:t xml:space="preserve">supply of loans that prevents bank-lending growth. </w:t>
      </w:r>
    </w:p>
    <w:p w:rsidR="00ED2E37" w:rsidRPr="00AA09AA" w:rsidRDefault="00ED2E37" w:rsidP="00BA5544">
      <w:pPr>
        <w:pStyle w:val="EUPHeading2"/>
      </w:pPr>
      <w:bookmarkStart w:id="28" w:name="_Toc398554029"/>
      <w:r w:rsidRPr="00AA09AA">
        <w:t>A</w:t>
      </w:r>
      <w:r w:rsidR="00C17317" w:rsidRPr="00AA09AA">
        <w:t xml:space="preserve">sset </w:t>
      </w:r>
      <w:r w:rsidRPr="00AA09AA">
        <w:t>B</w:t>
      </w:r>
      <w:r w:rsidR="00C17317" w:rsidRPr="00AA09AA">
        <w:t xml:space="preserve">acked </w:t>
      </w:r>
      <w:r w:rsidRPr="00AA09AA">
        <w:t>S</w:t>
      </w:r>
      <w:r w:rsidR="00C17317" w:rsidRPr="00AA09AA">
        <w:t>ecurities</w:t>
      </w:r>
      <w:r w:rsidRPr="00AA09AA">
        <w:t xml:space="preserve"> and Covered Bonds</w:t>
      </w:r>
      <w:r w:rsidR="00091989" w:rsidRPr="00AA09AA">
        <w:t xml:space="preserve"> Purchases</w:t>
      </w:r>
      <w:bookmarkEnd w:id="28"/>
    </w:p>
    <w:p w:rsidR="004B0E58" w:rsidRPr="00AA09AA" w:rsidRDefault="004B0E58" w:rsidP="000E292F">
      <w:pPr>
        <w:spacing w:after="120" w:line="264" w:lineRule="auto"/>
        <w:rPr>
          <w:rFonts w:ascii="Verdana" w:hAnsi="Verdana"/>
          <w:sz w:val="20"/>
          <w:lang w:val="en-GB"/>
        </w:rPr>
      </w:pPr>
      <w:r w:rsidRPr="00AA09AA">
        <w:rPr>
          <w:rFonts w:ascii="Verdana" w:hAnsi="Verdana"/>
          <w:sz w:val="20"/>
          <w:lang w:val="en-GB"/>
        </w:rPr>
        <w:t xml:space="preserve">It is not clear why the TLTRO excludes housing loans. The likely explanation is that encouraging this form of lending is the purpose of the programme announced in September. </w:t>
      </w:r>
      <w:r w:rsidR="00C71B4B" w:rsidRPr="00AA09AA">
        <w:rPr>
          <w:rFonts w:ascii="Verdana" w:hAnsi="Verdana"/>
          <w:sz w:val="20"/>
          <w:lang w:val="en-GB"/>
        </w:rPr>
        <w:t xml:space="preserve">The programme includes outright purchases of portfolios of bank </w:t>
      </w:r>
      <w:r w:rsidR="00C17317" w:rsidRPr="00AA09AA">
        <w:rPr>
          <w:rFonts w:ascii="Verdana" w:hAnsi="Verdana"/>
          <w:sz w:val="20"/>
          <w:lang w:val="en-GB"/>
        </w:rPr>
        <w:t xml:space="preserve">housing </w:t>
      </w:r>
      <w:r w:rsidR="00C71B4B" w:rsidRPr="00AA09AA">
        <w:rPr>
          <w:rFonts w:ascii="Verdana" w:hAnsi="Verdana"/>
          <w:sz w:val="20"/>
          <w:lang w:val="en-GB"/>
        </w:rPr>
        <w:t>loans</w:t>
      </w:r>
      <w:r w:rsidR="00C17317" w:rsidRPr="00AA09AA">
        <w:rPr>
          <w:rFonts w:ascii="Verdana" w:hAnsi="Verdana"/>
          <w:sz w:val="20"/>
          <w:lang w:val="en-GB"/>
        </w:rPr>
        <w:t>. Thus banks that grant housing loans can expect to quickly sell</w:t>
      </w:r>
      <w:r w:rsidR="00FE0318" w:rsidRPr="00AA09AA">
        <w:rPr>
          <w:rFonts w:ascii="Verdana" w:hAnsi="Verdana"/>
          <w:sz w:val="20"/>
          <w:lang w:val="en-GB"/>
        </w:rPr>
        <w:t xml:space="preserve"> these</w:t>
      </w:r>
      <w:r w:rsidR="00C17317" w:rsidRPr="00AA09AA">
        <w:rPr>
          <w:rFonts w:ascii="Verdana" w:hAnsi="Verdana"/>
          <w:sz w:val="20"/>
          <w:lang w:val="en-GB"/>
        </w:rPr>
        <w:t xml:space="preserve"> loans to other banks or financial institutions, which will create the portfolios in the form of Asset Backed Securities (ABS) or covered bonds, more of which below.</w:t>
      </w:r>
      <w:r w:rsidR="00FE0318" w:rsidRPr="00AA09AA">
        <w:rPr>
          <w:rFonts w:ascii="Verdana" w:hAnsi="Verdana"/>
          <w:sz w:val="20"/>
          <w:lang w:val="en-GB"/>
        </w:rPr>
        <w:t xml:space="preserve"> Under this scheme, the need for liquidity is greatly reduced</w:t>
      </w:r>
      <w:r w:rsidR="00C15D43" w:rsidRPr="00AA09AA">
        <w:rPr>
          <w:rFonts w:ascii="Verdana" w:hAnsi="Verdana"/>
          <w:sz w:val="20"/>
          <w:lang w:val="en-GB"/>
        </w:rPr>
        <w:t xml:space="preserve"> as a bank constantly refinances its loans, presumably at a cost significantly lower than its own lending rate. Here again, fragmentation should be reduced and lending boosted. The objectives are clear and the scheme is well adapted. </w:t>
      </w:r>
    </w:p>
    <w:p w:rsidR="00C15D43" w:rsidRPr="00AA09AA" w:rsidRDefault="00C15D43" w:rsidP="000E292F">
      <w:pPr>
        <w:spacing w:after="120" w:line="264" w:lineRule="auto"/>
        <w:rPr>
          <w:rFonts w:ascii="Verdana" w:hAnsi="Verdana"/>
          <w:sz w:val="20"/>
          <w:lang w:val="en-GB"/>
        </w:rPr>
      </w:pPr>
      <w:r w:rsidRPr="00AA09AA">
        <w:rPr>
          <w:rFonts w:ascii="Verdana" w:hAnsi="Verdana"/>
          <w:sz w:val="20"/>
          <w:lang w:val="en-GB"/>
        </w:rPr>
        <w:t xml:space="preserve">Yet, the programme raises many questions. </w:t>
      </w:r>
      <w:r w:rsidR="00015557" w:rsidRPr="00AA09AA">
        <w:rPr>
          <w:rFonts w:ascii="Verdana" w:hAnsi="Verdana"/>
          <w:sz w:val="20"/>
          <w:lang w:val="en-GB"/>
        </w:rPr>
        <w:t>Five</w:t>
      </w:r>
      <w:r w:rsidRPr="00AA09AA">
        <w:rPr>
          <w:rFonts w:ascii="Verdana" w:hAnsi="Verdana"/>
          <w:sz w:val="20"/>
          <w:lang w:val="en-GB"/>
        </w:rPr>
        <w:t xml:space="preserve"> are of particular concern: </w:t>
      </w:r>
    </w:p>
    <w:p w:rsidR="00C15D43" w:rsidRPr="00AA09AA" w:rsidRDefault="00C15D43" w:rsidP="003B09D2">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As quickly noted by all observers, ABS were the villains of the US mortgage crisis. </w:t>
      </w:r>
      <w:r w:rsidR="00FA711C" w:rsidRPr="00AA09AA">
        <w:rPr>
          <w:rFonts w:ascii="Verdana" w:eastAsia="Calibri" w:hAnsi="Verdana"/>
          <w:sz w:val="20"/>
          <w:lang w:val="en-GB" w:eastAsia="en-US"/>
        </w:rPr>
        <w:t>Each portfolio</w:t>
      </w:r>
      <w:r w:rsidRPr="00AA09AA">
        <w:rPr>
          <w:rFonts w:ascii="Verdana" w:eastAsia="Calibri" w:hAnsi="Verdana"/>
          <w:sz w:val="20"/>
          <w:lang w:val="en-GB" w:eastAsia="en-US"/>
        </w:rPr>
        <w:t xml:space="preserve"> may include hundreds or thousands of loans of various risk intensity. Once repackaged, it is very difficult – most likely humanly impossible – to determine how risky each constituent loan is. In the US, the risk of overall portfolios turned out to be considerable and eventually lethal because of the presence of subprime (i.e. bad quality</w:t>
      </w:r>
      <w:r w:rsidR="00FA711C" w:rsidRPr="00AA09AA">
        <w:rPr>
          <w:rFonts w:ascii="Verdana" w:eastAsia="Calibri" w:hAnsi="Verdana"/>
          <w:sz w:val="20"/>
          <w:lang w:val="en-GB" w:eastAsia="en-US"/>
        </w:rPr>
        <w:t xml:space="preserve"> and very risky</w:t>
      </w:r>
      <w:r w:rsidRPr="00AA09AA">
        <w:rPr>
          <w:rFonts w:ascii="Verdana" w:eastAsia="Calibri" w:hAnsi="Verdana"/>
          <w:sz w:val="20"/>
          <w:lang w:val="en-GB" w:eastAsia="en-US"/>
        </w:rPr>
        <w:t>) loans. Subprimes do not exist in Europe but what created the US crisis was that the loans turned out to</w:t>
      </w:r>
      <w:r w:rsidR="00FA711C" w:rsidRPr="00AA09AA">
        <w:rPr>
          <w:rFonts w:ascii="Verdana" w:eastAsia="Calibri" w:hAnsi="Verdana"/>
          <w:sz w:val="20"/>
          <w:lang w:val="en-GB" w:eastAsia="en-US"/>
        </w:rPr>
        <w:t xml:space="preserve"> be</w:t>
      </w:r>
      <w:r w:rsidRPr="00AA09AA">
        <w:rPr>
          <w:rFonts w:ascii="Verdana" w:eastAsia="Calibri" w:hAnsi="Verdana"/>
          <w:sz w:val="20"/>
          <w:lang w:val="en-GB" w:eastAsia="en-US"/>
        </w:rPr>
        <w:t xml:space="preserve"> highly correlated because of the housing price bubble that emerged, partly as the result of the abundance of loans. Reassuringly perhaps, a new bubble may be prevented through macro-prudential measures</w:t>
      </w:r>
      <w:r w:rsidR="006A005B" w:rsidRPr="00AA09AA">
        <w:rPr>
          <w:rFonts w:ascii="Verdana" w:eastAsia="Calibri" w:hAnsi="Verdana"/>
          <w:sz w:val="20"/>
          <w:lang w:val="en-GB" w:eastAsia="en-US"/>
        </w:rPr>
        <w:t>,</w:t>
      </w:r>
      <w:r w:rsidRPr="00AA09AA">
        <w:rPr>
          <w:rFonts w:ascii="Verdana" w:eastAsia="Calibri" w:hAnsi="Verdana"/>
          <w:sz w:val="20"/>
          <w:lang w:val="en-GB" w:eastAsia="en-US"/>
        </w:rPr>
        <w:t xml:space="preserve"> but we have </w:t>
      </w:r>
      <w:r w:rsidR="00FA711C" w:rsidRPr="00AA09AA">
        <w:rPr>
          <w:rFonts w:ascii="Verdana" w:eastAsia="Calibri" w:hAnsi="Verdana"/>
          <w:sz w:val="20"/>
          <w:lang w:val="en-GB" w:eastAsia="en-US"/>
        </w:rPr>
        <w:t>little</w:t>
      </w:r>
      <w:r w:rsidRPr="00AA09AA">
        <w:rPr>
          <w:rFonts w:ascii="Verdana" w:eastAsia="Calibri" w:hAnsi="Verdana"/>
          <w:sz w:val="20"/>
          <w:lang w:val="en-GB" w:eastAsia="en-US"/>
        </w:rPr>
        <w:t xml:space="preserve"> experience </w:t>
      </w:r>
      <w:r w:rsidR="00FA711C" w:rsidRPr="00AA09AA">
        <w:rPr>
          <w:rFonts w:ascii="Verdana" w:eastAsia="Calibri" w:hAnsi="Verdana"/>
          <w:sz w:val="20"/>
          <w:lang w:val="en-GB" w:eastAsia="en-US"/>
        </w:rPr>
        <w:t>of this new instrument</w:t>
      </w:r>
      <w:r w:rsidRPr="00AA09AA">
        <w:rPr>
          <w:rFonts w:ascii="Verdana" w:eastAsia="Calibri" w:hAnsi="Verdana"/>
          <w:sz w:val="20"/>
          <w:lang w:val="en-GB" w:eastAsia="en-US"/>
        </w:rPr>
        <w:t>.</w:t>
      </w:r>
      <w:r w:rsidRPr="00AA09AA">
        <w:rPr>
          <w:rFonts w:ascii="Verdana" w:eastAsia="Calibri" w:hAnsi="Verdana"/>
          <w:sz w:val="20"/>
          <w:vertAlign w:val="superscript"/>
          <w:lang w:val="en-GB" w:eastAsia="en-US"/>
        </w:rPr>
        <w:footnoteReference w:id="4"/>
      </w:r>
      <w:r w:rsidRPr="00AA09AA">
        <w:rPr>
          <w:rFonts w:ascii="Verdana" w:eastAsia="Calibri" w:hAnsi="Verdana"/>
          <w:sz w:val="20"/>
          <w:lang w:val="en-GB" w:eastAsia="en-US"/>
        </w:rPr>
        <w:t xml:space="preserve"> </w:t>
      </w:r>
    </w:p>
    <w:p w:rsidR="006A005B" w:rsidRPr="00AA09AA" w:rsidRDefault="006A005B" w:rsidP="003B09D2">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As banks sell their loans to ABS-creating institutions, they cease to bear the corresponding risk. In the US, this has led to excessive risk taking since banks were making </w:t>
      </w:r>
      <w:r w:rsidR="00F022C8" w:rsidRPr="00AA09AA">
        <w:rPr>
          <w:rFonts w:ascii="Verdana" w:eastAsia="Calibri" w:hAnsi="Verdana"/>
          <w:sz w:val="20"/>
          <w:lang w:val="en-GB" w:eastAsia="en-US"/>
        </w:rPr>
        <w:t>immediate and riskless</w:t>
      </w:r>
      <w:r w:rsidRPr="00AA09AA">
        <w:rPr>
          <w:rFonts w:ascii="Verdana" w:eastAsia="Calibri" w:hAnsi="Verdana"/>
          <w:sz w:val="20"/>
          <w:lang w:val="en-GB" w:eastAsia="en-US"/>
        </w:rPr>
        <w:t xml:space="preserve"> profit o</w:t>
      </w:r>
      <w:r w:rsidR="00F022C8" w:rsidRPr="00AA09AA">
        <w:rPr>
          <w:rFonts w:ascii="Verdana" w:eastAsia="Calibri" w:hAnsi="Verdana"/>
          <w:sz w:val="20"/>
          <w:lang w:val="en-GB" w:eastAsia="en-US"/>
        </w:rPr>
        <w:t>n</w:t>
      </w:r>
      <w:r w:rsidRPr="00AA09AA">
        <w:rPr>
          <w:rFonts w:ascii="Verdana" w:eastAsia="Calibri" w:hAnsi="Verdana"/>
          <w:sz w:val="20"/>
          <w:lang w:val="en-GB" w:eastAsia="en-US"/>
        </w:rPr>
        <w:t xml:space="preserve"> each loan that they originated and sold. </w:t>
      </w:r>
      <w:r w:rsidR="00F022C8" w:rsidRPr="00AA09AA">
        <w:rPr>
          <w:rFonts w:ascii="Verdana" w:eastAsia="Calibri" w:hAnsi="Verdana"/>
          <w:sz w:val="20"/>
          <w:lang w:val="en-GB" w:eastAsia="en-US"/>
        </w:rPr>
        <w:t xml:space="preserve">Understandably, they did not need to vet borrowers carefully. </w:t>
      </w:r>
      <w:r w:rsidRPr="00AA09AA">
        <w:rPr>
          <w:rFonts w:ascii="Verdana" w:eastAsia="Calibri" w:hAnsi="Verdana"/>
          <w:sz w:val="20"/>
          <w:lang w:val="en-GB" w:eastAsia="en-US"/>
        </w:rPr>
        <w:t>In that way, by being ready to buy ABS, the ECB will encourage risk-taking by commercial banks. Requiring that banks retain on their books a portion of each loan that they originate mitigates the risk, but to an unknown degree.</w:t>
      </w:r>
      <w:r w:rsidR="003164D3" w:rsidRPr="00AA09AA">
        <w:rPr>
          <w:rFonts w:ascii="Verdana" w:eastAsia="Calibri" w:hAnsi="Verdana"/>
          <w:sz w:val="20"/>
          <w:vertAlign w:val="superscript"/>
          <w:lang w:val="en-GB" w:eastAsia="en-US"/>
        </w:rPr>
        <w:footnoteReference w:id="5"/>
      </w:r>
      <w:r w:rsidR="003B09D2" w:rsidRPr="00AA09AA">
        <w:rPr>
          <w:rFonts w:ascii="Verdana" w:eastAsia="Calibri" w:hAnsi="Verdana"/>
          <w:sz w:val="20"/>
          <w:lang w:val="en-GB" w:eastAsia="en-US"/>
        </w:rPr>
        <w:t xml:space="preserve"> C</w:t>
      </w:r>
      <w:r w:rsidRPr="00AA09AA">
        <w:rPr>
          <w:rFonts w:ascii="Verdana" w:eastAsia="Calibri" w:hAnsi="Verdana"/>
          <w:sz w:val="20"/>
          <w:lang w:val="en-GB" w:eastAsia="en-US"/>
        </w:rPr>
        <w:t xml:space="preserve">overed bonds, it must be noted, do not allow banks to eliminate </w:t>
      </w:r>
      <w:r w:rsidR="00F2038E" w:rsidRPr="00AA09AA">
        <w:rPr>
          <w:rFonts w:ascii="Verdana" w:eastAsia="Calibri" w:hAnsi="Verdana"/>
          <w:sz w:val="20"/>
          <w:lang w:val="en-GB" w:eastAsia="en-US"/>
        </w:rPr>
        <w:t>lending</w:t>
      </w:r>
      <w:r w:rsidRPr="00AA09AA">
        <w:rPr>
          <w:rFonts w:ascii="Verdana" w:eastAsia="Calibri" w:hAnsi="Verdana"/>
          <w:sz w:val="20"/>
          <w:lang w:val="en-GB" w:eastAsia="en-US"/>
        </w:rPr>
        <w:t xml:space="preserve"> risk. </w:t>
      </w:r>
    </w:p>
    <w:p w:rsidR="00C15D43" w:rsidRPr="00AA09AA" w:rsidRDefault="006A005B" w:rsidP="003B09D2">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The ECB may end up taking up some of thi</w:t>
      </w:r>
      <w:r w:rsidR="00F2038E" w:rsidRPr="00AA09AA">
        <w:rPr>
          <w:rFonts w:ascii="Verdana" w:eastAsia="Calibri" w:hAnsi="Verdana"/>
          <w:sz w:val="20"/>
          <w:lang w:val="en-GB" w:eastAsia="en-US"/>
        </w:rPr>
        <w:t>s risk. It intends to limit risk</w:t>
      </w:r>
      <w:r w:rsidRPr="00AA09AA">
        <w:rPr>
          <w:rFonts w:ascii="Verdana" w:eastAsia="Calibri" w:hAnsi="Verdana"/>
          <w:sz w:val="20"/>
          <w:lang w:val="en-GB" w:eastAsia="en-US"/>
        </w:rPr>
        <w:t xml:space="preserve"> as follows. The ABS portfolios will be sliced into tranches: the first one will be senior (meaning it will be the first one to be repaid), the second one will only be junior to the first one, and so on. The ECB will only buy the highest tranches, pushing the risk on to the lower “mezzanine” tranches. </w:t>
      </w:r>
      <w:r w:rsidR="00CB3C3F" w:rsidRPr="00AA09AA">
        <w:rPr>
          <w:rFonts w:ascii="Verdana" w:eastAsia="Calibri" w:hAnsi="Verdana"/>
          <w:sz w:val="20"/>
          <w:lang w:val="en-GB" w:eastAsia="en-US"/>
        </w:rPr>
        <w:t>Two questions arise</w:t>
      </w:r>
      <w:r w:rsidR="00F2038E" w:rsidRPr="00AA09AA">
        <w:rPr>
          <w:rFonts w:ascii="Verdana" w:eastAsia="Calibri" w:hAnsi="Verdana"/>
          <w:sz w:val="20"/>
          <w:lang w:val="en-GB" w:eastAsia="en-US"/>
        </w:rPr>
        <w:t>, though</w:t>
      </w:r>
      <w:r w:rsidR="00CB3C3F" w:rsidRPr="00AA09AA">
        <w:rPr>
          <w:rFonts w:ascii="Verdana" w:eastAsia="Calibri" w:hAnsi="Verdana"/>
          <w:sz w:val="20"/>
          <w:lang w:val="en-GB" w:eastAsia="en-US"/>
        </w:rPr>
        <w:t xml:space="preserve">. First, </w:t>
      </w:r>
      <w:r w:rsidR="00F2038E" w:rsidRPr="00AA09AA">
        <w:rPr>
          <w:rFonts w:ascii="Verdana" w:eastAsia="Calibri" w:hAnsi="Verdana"/>
          <w:sz w:val="20"/>
          <w:lang w:val="en-GB" w:eastAsia="en-US"/>
        </w:rPr>
        <w:t>at which tranche will the ECB stop?</w:t>
      </w:r>
      <w:r w:rsidR="00CB3C3F" w:rsidRPr="00AA09AA">
        <w:rPr>
          <w:rFonts w:ascii="Verdana" w:eastAsia="Calibri" w:hAnsi="Verdana"/>
          <w:sz w:val="20"/>
          <w:lang w:val="en-GB" w:eastAsia="en-US"/>
        </w:rPr>
        <w:t xml:space="preserve"> If it stops</w:t>
      </w:r>
      <w:r w:rsidR="00015557" w:rsidRPr="00AA09AA">
        <w:rPr>
          <w:rFonts w:ascii="Verdana" w:eastAsia="Calibri" w:hAnsi="Verdana"/>
          <w:sz w:val="20"/>
          <w:lang w:val="en-GB" w:eastAsia="en-US"/>
        </w:rPr>
        <w:t xml:space="preserve"> too high, the portfolios will be hard to sell; if it stops too low, it will take quite some risk. Finding the optimal “goldilock” cutting-off point is challenging. Second, who will buy the mezzanine tranches? The ECB has suggested </w:t>
      </w:r>
      <w:r w:rsidR="00F2038E" w:rsidRPr="00AA09AA">
        <w:rPr>
          <w:rFonts w:ascii="Verdana" w:eastAsia="Calibri" w:hAnsi="Verdana"/>
          <w:sz w:val="20"/>
          <w:lang w:val="en-GB" w:eastAsia="en-US"/>
        </w:rPr>
        <w:t xml:space="preserve">that </w:t>
      </w:r>
      <w:r w:rsidR="00015557" w:rsidRPr="00AA09AA">
        <w:rPr>
          <w:rFonts w:ascii="Verdana" w:eastAsia="Calibri" w:hAnsi="Verdana"/>
          <w:sz w:val="20"/>
          <w:lang w:val="en-GB" w:eastAsia="en-US"/>
        </w:rPr>
        <w:t>government</w:t>
      </w:r>
      <w:r w:rsidR="00CF3E70" w:rsidRPr="00AA09AA">
        <w:rPr>
          <w:rFonts w:ascii="Verdana" w:eastAsia="Calibri" w:hAnsi="Verdana"/>
          <w:sz w:val="20"/>
          <w:lang w:val="en-GB" w:eastAsia="en-US"/>
        </w:rPr>
        <w:t>s</w:t>
      </w:r>
      <w:r w:rsidR="00015557" w:rsidRPr="00AA09AA">
        <w:rPr>
          <w:rFonts w:ascii="Verdana" w:eastAsia="Calibri" w:hAnsi="Verdana"/>
          <w:sz w:val="20"/>
          <w:lang w:val="en-GB" w:eastAsia="en-US"/>
        </w:rPr>
        <w:t xml:space="preserve"> </w:t>
      </w:r>
      <w:r w:rsidR="00F2038E" w:rsidRPr="00AA09AA">
        <w:rPr>
          <w:rFonts w:ascii="Verdana" w:eastAsia="Calibri" w:hAnsi="Verdana"/>
          <w:sz w:val="20"/>
          <w:lang w:val="en-GB" w:eastAsia="en-US"/>
        </w:rPr>
        <w:t xml:space="preserve">provide </w:t>
      </w:r>
      <w:r w:rsidR="00015557" w:rsidRPr="00AA09AA">
        <w:rPr>
          <w:rFonts w:ascii="Verdana" w:eastAsia="Calibri" w:hAnsi="Verdana"/>
          <w:sz w:val="20"/>
          <w:lang w:val="en-GB" w:eastAsia="en-US"/>
        </w:rPr>
        <w:t>guarantees, which would put taxpayers at risk, a dubious solution</w:t>
      </w:r>
      <w:r w:rsidR="00F2038E" w:rsidRPr="00AA09AA">
        <w:rPr>
          <w:rFonts w:ascii="Verdana" w:eastAsia="Calibri" w:hAnsi="Verdana"/>
          <w:sz w:val="20"/>
          <w:lang w:val="en-GB" w:eastAsia="en-US"/>
        </w:rPr>
        <w:t xml:space="preserve"> that is likely to be rejected</w:t>
      </w:r>
      <w:r w:rsidR="00015557" w:rsidRPr="00AA09AA">
        <w:rPr>
          <w:rFonts w:ascii="Verdana" w:eastAsia="Calibri" w:hAnsi="Verdana"/>
          <w:sz w:val="20"/>
          <w:lang w:val="en-GB" w:eastAsia="en-US"/>
        </w:rPr>
        <w:t>. The private sector will always absorb them but the price may be so low as to jeopardize the whole programme by cutting into bank profitability. Another possibility is that the lower tranches sour, creating a new crisis.</w:t>
      </w:r>
    </w:p>
    <w:p w:rsidR="00C15D43" w:rsidRPr="00AA09AA" w:rsidRDefault="00015557" w:rsidP="003B09D2">
      <w:pPr>
        <w:numPr>
          <w:ilvl w:val="0"/>
          <w:numId w:val="4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5"/>
        </w:tabs>
        <w:spacing w:after="120" w:line="264" w:lineRule="auto"/>
        <w:ind w:left="425" w:hanging="425"/>
        <w:rPr>
          <w:rFonts w:ascii="Verdana" w:eastAsia="Calibri" w:hAnsi="Verdana"/>
          <w:sz w:val="20"/>
          <w:lang w:val="en-GB" w:eastAsia="en-US"/>
        </w:rPr>
      </w:pPr>
      <w:r w:rsidRPr="00AA09AA">
        <w:rPr>
          <w:rFonts w:ascii="Verdana" w:eastAsia="Calibri" w:hAnsi="Verdana"/>
          <w:sz w:val="20"/>
          <w:lang w:val="en-GB" w:eastAsia="en-US"/>
        </w:rPr>
        <w:t xml:space="preserve">As with the previous schemes, the underlying assumption is that housing loans are being held back by the </w:t>
      </w:r>
      <w:r w:rsidR="00C15D43" w:rsidRPr="00AA09AA">
        <w:rPr>
          <w:rFonts w:ascii="Verdana" w:eastAsia="Calibri" w:hAnsi="Verdana"/>
          <w:sz w:val="20"/>
          <w:lang w:val="en-GB" w:eastAsia="en-US"/>
        </w:rPr>
        <w:t>supply</w:t>
      </w:r>
      <w:r w:rsidRPr="00AA09AA">
        <w:rPr>
          <w:rFonts w:ascii="Verdana" w:eastAsia="Calibri" w:hAnsi="Verdana"/>
          <w:sz w:val="20"/>
          <w:lang w:val="en-GB" w:eastAsia="en-US"/>
        </w:rPr>
        <w:t xml:space="preserve"> side because of insufficient liquidity. </w:t>
      </w:r>
    </w:p>
    <w:p w:rsidR="00ED2E37" w:rsidRPr="00AA09AA" w:rsidRDefault="00ED2E37" w:rsidP="000E292F">
      <w:pPr>
        <w:spacing w:after="120" w:line="264" w:lineRule="auto"/>
        <w:rPr>
          <w:rFonts w:ascii="Verdana" w:hAnsi="Verdana"/>
          <w:sz w:val="20"/>
          <w:lang w:val="en-GB"/>
        </w:rPr>
      </w:pPr>
    </w:p>
    <w:p w:rsidR="0086100F" w:rsidRPr="00AA09AA" w:rsidRDefault="0086100F"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264" w:lineRule="auto"/>
        <w:jc w:val="left"/>
        <w:rPr>
          <w:rFonts w:ascii="Verdana" w:hAnsi="Verdana"/>
          <w:b/>
          <w:bCs/>
          <w:caps/>
          <w:color w:val="000080"/>
          <w:kern w:val="28"/>
          <w:sz w:val="28"/>
          <w:lang w:val="en-GB"/>
        </w:rPr>
      </w:pPr>
      <w:r w:rsidRPr="00AA09AA">
        <w:rPr>
          <w:lang w:val="en-GB"/>
        </w:rPr>
        <w:br w:type="page"/>
      </w:r>
    </w:p>
    <w:p w:rsidR="00930006" w:rsidRPr="00AA09AA" w:rsidRDefault="0086100F" w:rsidP="00BA5544">
      <w:pPr>
        <w:pStyle w:val="StyleHeading1Verdana14ptBoldDarkBlueAllcaps"/>
        <w:spacing w:before="360" w:after="80"/>
      </w:pPr>
      <w:bookmarkStart w:id="29" w:name="_Toc398554030"/>
      <w:r w:rsidRPr="00AA09AA">
        <w:t>THE DIFFERENCE WITH QE</w:t>
      </w:r>
      <w:bookmarkEnd w:id="29"/>
    </w:p>
    <w:p w:rsidR="00322D0A" w:rsidRPr="00AA09AA" w:rsidRDefault="00015557" w:rsidP="00BA5544">
      <w:pPr>
        <w:spacing w:after="80" w:line="264" w:lineRule="auto"/>
        <w:rPr>
          <w:rFonts w:ascii="Verdana" w:hAnsi="Verdana"/>
          <w:sz w:val="20"/>
          <w:lang w:val="en-GB"/>
        </w:rPr>
      </w:pPr>
      <w:r w:rsidRPr="00AA09AA">
        <w:rPr>
          <w:rFonts w:ascii="Verdana" w:hAnsi="Verdana"/>
          <w:sz w:val="20"/>
          <w:lang w:val="en-GB"/>
        </w:rPr>
        <w:t>The ECB programmes (TLTRO and purchases of ABS or covered bonds)</w:t>
      </w:r>
      <w:r w:rsidR="009561CC" w:rsidRPr="00AA09AA">
        <w:rPr>
          <w:rFonts w:ascii="Verdana" w:hAnsi="Verdana"/>
          <w:sz w:val="20"/>
          <w:lang w:val="en-GB"/>
        </w:rPr>
        <w:t xml:space="preserve"> are not the same as Quantitative Easing (QE) as practised by the other major central banks</w:t>
      </w:r>
      <w:r w:rsidR="00322D0A" w:rsidRPr="00AA09AA">
        <w:rPr>
          <w:rFonts w:ascii="Verdana" w:hAnsi="Verdana"/>
          <w:sz w:val="20"/>
          <w:lang w:val="en-GB"/>
        </w:rPr>
        <w:t xml:space="preserve"> (Japan, UK and US)</w:t>
      </w:r>
      <w:r w:rsidR="009561CC" w:rsidRPr="00AA09AA">
        <w:rPr>
          <w:rFonts w:ascii="Verdana" w:hAnsi="Verdana"/>
          <w:sz w:val="20"/>
          <w:lang w:val="en-GB"/>
        </w:rPr>
        <w:t xml:space="preserve">. </w:t>
      </w:r>
      <w:r w:rsidR="008157F9" w:rsidRPr="00AA09AA">
        <w:rPr>
          <w:rFonts w:ascii="Verdana" w:hAnsi="Verdana"/>
          <w:sz w:val="20"/>
          <w:lang w:val="en-GB"/>
        </w:rPr>
        <w:t xml:space="preserve">The aim is broadly similar, except that other countries do not have to contend with financial market fragmentation. </w:t>
      </w:r>
      <w:r w:rsidR="008858F5" w:rsidRPr="00AA09AA">
        <w:rPr>
          <w:rFonts w:ascii="Verdana" w:hAnsi="Verdana"/>
          <w:sz w:val="20"/>
          <w:lang w:val="en-GB"/>
        </w:rPr>
        <w:t xml:space="preserve">A small difference is that the other central banks explicitly intended to lower long-term interest rates, which the ECB has not indicated as an objective. </w:t>
      </w:r>
    </w:p>
    <w:p w:rsidR="00015557" w:rsidRPr="00AA09AA" w:rsidRDefault="00322D0A" w:rsidP="000E292F">
      <w:pPr>
        <w:spacing w:after="120" w:line="264" w:lineRule="auto"/>
        <w:rPr>
          <w:rFonts w:ascii="Verdana" w:hAnsi="Verdana"/>
          <w:sz w:val="20"/>
          <w:lang w:val="en-GB"/>
        </w:rPr>
      </w:pPr>
      <w:r w:rsidRPr="00AA09AA">
        <w:rPr>
          <w:rFonts w:ascii="Verdana" w:hAnsi="Verdana"/>
          <w:sz w:val="20"/>
          <w:lang w:val="en-GB"/>
        </w:rPr>
        <w:t xml:space="preserve">The big difference is that the other central banks </w:t>
      </w:r>
      <w:r w:rsidR="00736FA7" w:rsidRPr="00AA09AA">
        <w:rPr>
          <w:rFonts w:ascii="Verdana" w:hAnsi="Verdana"/>
          <w:sz w:val="20"/>
          <w:lang w:val="en-GB"/>
        </w:rPr>
        <w:t>have decided to inject explicit amounts of liquidity</w:t>
      </w:r>
      <w:r w:rsidR="00BD1BF9" w:rsidRPr="00AA09AA">
        <w:rPr>
          <w:rFonts w:ascii="Verdana" w:hAnsi="Verdana"/>
          <w:sz w:val="20"/>
          <w:lang w:val="en-GB"/>
        </w:rPr>
        <w:t>, usually over a stated period of time</w:t>
      </w:r>
      <w:r w:rsidR="00736FA7" w:rsidRPr="00AA09AA">
        <w:rPr>
          <w:rFonts w:ascii="Verdana" w:hAnsi="Verdana"/>
          <w:sz w:val="20"/>
          <w:lang w:val="en-GB"/>
        </w:rPr>
        <w:t xml:space="preserve">. </w:t>
      </w:r>
      <w:r w:rsidR="00BD1BF9" w:rsidRPr="00AA09AA">
        <w:rPr>
          <w:rFonts w:ascii="Verdana" w:hAnsi="Verdana"/>
          <w:sz w:val="20"/>
          <w:lang w:val="en-GB"/>
        </w:rPr>
        <w:t xml:space="preserve">These liquidity targets have been changed over time in response to economic and financial conditions. Table 1 provides a simple overview of these pre-announced amounts. </w:t>
      </w:r>
      <w:r w:rsidR="00C03F6E" w:rsidRPr="00AA09AA">
        <w:rPr>
          <w:rFonts w:ascii="Verdana" w:hAnsi="Verdana"/>
          <w:sz w:val="20"/>
          <w:lang w:val="en-GB"/>
        </w:rPr>
        <w:t>The</w:t>
      </w:r>
      <w:r w:rsidR="008065C1" w:rsidRPr="00AA09AA">
        <w:rPr>
          <w:rFonts w:ascii="Verdana" w:hAnsi="Verdana"/>
          <w:sz w:val="20"/>
          <w:lang w:val="en-GB"/>
        </w:rPr>
        <w:t xml:space="preserve"> central banks</w:t>
      </w:r>
      <w:r w:rsidR="00C03F6E" w:rsidRPr="00AA09AA">
        <w:rPr>
          <w:rFonts w:ascii="Verdana" w:hAnsi="Verdana"/>
          <w:sz w:val="20"/>
          <w:lang w:val="en-GB"/>
        </w:rPr>
        <w:t xml:space="preserve"> were able to state and enforce these targets because they undertook to buy existing assets, mostly public debt instruments. The ECB, instead, indicates a readiness to lend to commercial banks (TLTRO) or to buy ABS and covered bonds under conditions. In real QE, as practiced by other major central banks, the monetary authorities “go shopping” and know how much they intend to spend. The ECB stands behind a stall and waits for customers. The ECB has not indicated how much liquidity it will inject because it does not know: the decision lies in the hands of commercial banks.</w:t>
      </w:r>
    </w:p>
    <w:p w:rsidR="000F7DD8" w:rsidRPr="00AA09AA" w:rsidRDefault="00C000D7" w:rsidP="00C000D7">
      <w:pPr>
        <w:pStyle w:val="Caption"/>
      </w:pPr>
      <w:r w:rsidRPr="00AA09AA">
        <w:t xml:space="preserve">Table </w:t>
      </w:r>
      <w:r w:rsidR="00460E72">
        <w:fldChar w:fldCharType="begin"/>
      </w:r>
      <w:r w:rsidR="007D6C33">
        <w:instrText xml:space="preserve"> SEQ Table \* ARABIC </w:instrText>
      </w:r>
      <w:r w:rsidR="00460E72">
        <w:fldChar w:fldCharType="separate"/>
      </w:r>
      <w:r w:rsidR="00160323" w:rsidRPr="00AA09AA">
        <w:rPr>
          <w:noProof/>
        </w:rPr>
        <w:t>1</w:t>
      </w:r>
      <w:r w:rsidR="00460E72">
        <w:rPr>
          <w:noProof/>
        </w:rPr>
        <w:fldChar w:fldCharType="end"/>
      </w:r>
      <w:r w:rsidRPr="00AA09AA">
        <w:t>:</w:t>
      </w:r>
      <w:r w:rsidRPr="00AA09AA">
        <w:tab/>
        <w:t>QE in Japan, the UK and USA</w:t>
      </w:r>
    </w:p>
    <w:p w:rsidR="000F7DD8" w:rsidRPr="00AA09AA" w:rsidRDefault="00BA5544" w:rsidP="000E292F">
      <w:pPr>
        <w:spacing w:after="120" w:line="264" w:lineRule="auto"/>
        <w:rPr>
          <w:rFonts w:ascii="Verdana" w:hAnsi="Verdana"/>
          <w:sz w:val="20"/>
          <w:lang w:val="en-GB"/>
        </w:rPr>
      </w:pPr>
      <w:r w:rsidRPr="00AA09AA">
        <w:rPr>
          <w:noProof/>
          <w:lang w:val="en-US" w:eastAsia="en-US"/>
        </w:rPr>
        <w:drawing>
          <wp:inline distT="0" distB="0" distL="0" distR="0">
            <wp:extent cx="2792627" cy="1902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121" cy="1901920"/>
                    </a:xfrm>
                    <a:prstGeom prst="rect">
                      <a:avLst/>
                    </a:prstGeom>
                    <a:noFill/>
                    <a:ln w="9525">
                      <a:noFill/>
                      <a:miter lim="800000"/>
                      <a:headEnd/>
                      <a:tailEnd/>
                    </a:ln>
                  </pic:spPr>
                </pic:pic>
              </a:graphicData>
            </a:graphic>
          </wp:inline>
        </w:drawing>
      </w:r>
    </w:p>
    <w:p w:rsidR="000F7DD8" w:rsidRPr="00AA09AA" w:rsidRDefault="00D015DC" w:rsidP="000E292F">
      <w:pPr>
        <w:spacing w:after="120" w:line="264" w:lineRule="auto"/>
        <w:rPr>
          <w:rFonts w:ascii="Verdana" w:hAnsi="Verdana"/>
          <w:sz w:val="16"/>
          <w:szCs w:val="16"/>
          <w:lang w:val="en-GB"/>
        </w:rPr>
      </w:pPr>
      <w:r w:rsidRPr="00AA09AA">
        <w:rPr>
          <w:rFonts w:ascii="Verdana" w:hAnsi="Verdana"/>
          <w:b/>
          <w:sz w:val="16"/>
          <w:szCs w:val="16"/>
          <w:lang w:val="en-GB"/>
        </w:rPr>
        <w:t>Source:</w:t>
      </w:r>
      <w:r w:rsidR="00C000D7" w:rsidRPr="00AA09AA">
        <w:rPr>
          <w:rFonts w:ascii="Verdana" w:hAnsi="Verdana"/>
          <w:sz w:val="16"/>
          <w:szCs w:val="16"/>
          <w:lang w:val="en-GB"/>
        </w:rPr>
        <w:tab/>
        <w:t>C</w:t>
      </w:r>
      <w:r w:rsidRPr="00AA09AA">
        <w:rPr>
          <w:rFonts w:ascii="Verdana" w:hAnsi="Verdana"/>
          <w:sz w:val="16"/>
          <w:szCs w:val="16"/>
          <w:lang w:val="en-GB"/>
        </w:rPr>
        <w:t>entral banks.</w:t>
      </w:r>
    </w:p>
    <w:p w:rsidR="008444E2" w:rsidRPr="00AA09AA" w:rsidRDefault="00D015DC" w:rsidP="00BA5544">
      <w:pPr>
        <w:spacing w:after="80" w:line="264" w:lineRule="auto"/>
        <w:rPr>
          <w:rFonts w:ascii="Verdana" w:hAnsi="Verdana"/>
          <w:sz w:val="20"/>
          <w:lang w:val="en-GB"/>
        </w:rPr>
      </w:pPr>
      <w:r w:rsidRPr="00AA09AA">
        <w:rPr>
          <w:rFonts w:ascii="Verdana" w:hAnsi="Verdana"/>
          <w:sz w:val="20"/>
          <w:lang w:val="en-GB"/>
        </w:rPr>
        <w:t xml:space="preserve">How much can that be? The basis for the first wave of TLTRO, 7% of bank loans outstanding in April 2014, is about </w:t>
      </w:r>
      <w:r w:rsidR="003B09D2" w:rsidRPr="00AA09AA">
        <w:rPr>
          <w:rFonts w:ascii="Verdana" w:hAnsi="Verdana"/>
          <w:sz w:val="20"/>
          <w:lang w:val="en-GB"/>
        </w:rPr>
        <w:t>EUR 400 </w:t>
      </w:r>
      <w:r w:rsidRPr="00AA09AA">
        <w:rPr>
          <w:rFonts w:ascii="Verdana" w:hAnsi="Verdana"/>
          <w:sz w:val="20"/>
          <w:lang w:val="en-GB"/>
        </w:rPr>
        <w:t>b</w:t>
      </w:r>
      <w:r w:rsidR="003B09D2" w:rsidRPr="00AA09AA">
        <w:rPr>
          <w:rFonts w:ascii="Verdana" w:hAnsi="Verdana"/>
          <w:sz w:val="20"/>
          <w:lang w:val="en-GB"/>
        </w:rPr>
        <w:t>illio</w:t>
      </w:r>
      <w:r w:rsidRPr="00AA09AA">
        <w:rPr>
          <w:rFonts w:ascii="Verdana" w:hAnsi="Verdana"/>
          <w:sz w:val="20"/>
          <w:lang w:val="en-GB"/>
        </w:rPr>
        <w:t>n. This is the maximum that can be injected. The basis for the second wave of LTRO is unknown because it depends on loans that will be create</w:t>
      </w:r>
      <w:r w:rsidR="005C6BED" w:rsidRPr="00AA09AA">
        <w:rPr>
          <w:rFonts w:ascii="Verdana" w:hAnsi="Verdana"/>
          <w:sz w:val="20"/>
          <w:lang w:val="en-GB"/>
        </w:rPr>
        <w:t>d</w:t>
      </w:r>
      <w:r w:rsidRPr="00AA09AA">
        <w:rPr>
          <w:rFonts w:ascii="Verdana" w:hAnsi="Verdana"/>
          <w:sz w:val="20"/>
          <w:lang w:val="en-GB"/>
        </w:rPr>
        <w:t xml:space="preserve"> over the next two years. Similarly, </w:t>
      </w:r>
      <w:r w:rsidR="00344B12" w:rsidRPr="00AA09AA">
        <w:rPr>
          <w:rFonts w:ascii="Verdana" w:hAnsi="Verdana"/>
          <w:sz w:val="20"/>
          <w:lang w:val="en-GB"/>
        </w:rPr>
        <w:t xml:space="preserve">many of </w:t>
      </w:r>
      <w:r w:rsidRPr="00AA09AA">
        <w:rPr>
          <w:rFonts w:ascii="Verdana" w:hAnsi="Verdana"/>
          <w:sz w:val="20"/>
          <w:lang w:val="en-GB"/>
        </w:rPr>
        <w:t xml:space="preserve">the ABS and covered bonds that will be purchased have still to be created. According to the Covered Bond Council, the amounts of </w:t>
      </w:r>
      <w:r w:rsidR="009864E4" w:rsidRPr="00AA09AA">
        <w:rPr>
          <w:rFonts w:ascii="Verdana" w:hAnsi="Verdana"/>
          <w:sz w:val="20"/>
          <w:lang w:val="en-GB"/>
        </w:rPr>
        <w:t xml:space="preserve">covered bonds outstanding in 2010 were about </w:t>
      </w:r>
      <w:r w:rsidR="003B09D2" w:rsidRPr="00AA09AA">
        <w:rPr>
          <w:rFonts w:ascii="Verdana" w:hAnsi="Verdana"/>
          <w:sz w:val="20"/>
          <w:lang w:val="en-GB"/>
        </w:rPr>
        <w:t>EUR 1.6 </w:t>
      </w:r>
      <w:r w:rsidR="00344B12" w:rsidRPr="00AA09AA">
        <w:rPr>
          <w:rFonts w:ascii="Verdana" w:hAnsi="Verdana"/>
          <w:sz w:val="20"/>
          <w:lang w:val="en-GB"/>
        </w:rPr>
        <w:t>tr</w:t>
      </w:r>
      <w:r w:rsidR="003B09D2" w:rsidRPr="00AA09AA">
        <w:rPr>
          <w:rFonts w:ascii="Verdana" w:hAnsi="Verdana"/>
          <w:sz w:val="20"/>
          <w:lang w:val="en-GB"/>
        </w:rPr>
        <w:t>illion</w:t>
      </w:r>
      <w:r w:rsidR="009864E4" w:rsidRPr="00AA09AA">
        <w:rPr>
          <w:rFonts w:ascii="Verdana" w:hAnsi="Verdana"/>
          <w:sz w:val="20"/>
          <w:lang w:val="en-GB"/>
        </w:rPr>
        <w:t xml:space="preserve">, </w:t>
      </w:r>
      <w:r w:rsidR="00344B12" w:rsidRPr="00AA09AA">
        <w:rPr>
          <w:rFonts w:ascii="Verdana" w:hAnsi="Verdana"/>
          <w:sz w:val="20"/>
          <w:lang w:val="en-GB"/>
        </w:rPr>
        <w:t xml:space="preserve">but we do not know yet whether </w:t>
      </w:r>
      <w:r w:rsidR="00ED732B" w:rsidRPr="00AA09AA">
        <w:rPr>
          <w:rFonts w:ascii="Verdana" w:hAnsi="Verdana"/>
          <w:sz w:val="20"/>
          <w:lang w:val="en-GB"/>
        </w:rPr>
        <w:t>existing bonds</w:t>
      </w:r>
      <w:r w:rsidR="00344B12" w:rsidRPr="00AA09AA">
        <w:rPr>
          <w:rFonts w:ascii="Verdana" w:hAnsi="Verdana"/>
          <w:sz w:val="20"/>
          <w:lang w:val="en-GB"/>
        </w:rPr>
        <w:t xml:space="preserve"> will be accepted</w:t>
      </w:r>
      <w:r w:rsidR="00ED732B" w:rsidRPr="00AA09AA">
        <w:rPr>
          <w:rFonts w:ascii="Verdana" w:hAnsi="Verdana"/>
          <w:sz w:val="20"/>
          <w:lang w:val="en-GB"/>
        </w:rPr>
        <w:t xml:space="preserve"> or whether the programme will only concern new ones</w:t>
      </w:r>
      <w:r w:rsidR="009864E4" w:rsidRPr="00AA09AA">
        <w:rPr>
          <w:rFonts w:ascii="Verdana" w:hAnsi="Verdana"/>
          <w:sz w:val="20"/>
          <w:lang w:val="en-GB"/>
        </w:rPr>
        <w:t>.</w:t>
      </w:r>
      <w:r w:rsidR="008444E2" w:rsidRPr="00AA09AA">
        <w:rPr>
          <w:rStyle w:val="FootnoteReference"/>
          <w:rFonts w:ascii="Verdana" w:hAnsi="Verdana"/>
          <w:sz w:val="20"/>
          <w:lang w:val="en-GB"/>
        </w:rPr>
        <w:footnoteReference w:id="6"/>
      </w:r>
      <w:r w:rsidR="009864E4" w:rsidRPr="00AA09AA">
        <w:rPr>
          <w:rFonts w:ascii="Verdana" w:hAnsi="Verdana"/>
          <w:sz w:val="20"/>
          <w:lang w:val="en-GB"/>
        </w:rPr>
        <w:t xml:space="preserve"> Much the same should apply to ABS, </w:t>
      </w:r>
      <w:r w:rsidR="00ED732B" w:rsidRPr="00AA09AA">
        <w:rPr>
          <w:rFonts w:ascii="Verdana" w:hAnsi="Verdana"/>
          <w:sz w:val="20"/>
          <w:lang w:val="en-GB"/>
        </w:rPr>
        <w:t xml:space="preserve">but the existing stock seems much smaller </w:t>
      </w:r>
      <w:r w:rsidR="009864E4" w:rsidRPr="00AA09AA">
        <w:rPr>
          <w:rFonts w:ascii="Verdana" w:hAnsi="Verdana"/>
          <w:sz w:val="20"/>
          <w:lang w:val="en-GB"/>
        </w:rPr>
        <w:t>as these instruments have been tainted by the crisis. The ECB has indicated that it expects to inject liquidity “in the hundred</w:t>
      </w:r>
      <w:r w:rsidR="00ED732B" w:rsidRPr="00AA09AA">
        <w:rPr>
          <w:rFonts w:ascii="Verdana" w:hAnsi="Verdana"/>
          <w:sz w:val="20"/>
          <w:lang w:val="en-GB"/>
        </w:rPr>
        <w:t>s</w:t>
      </w:r>
      <w:r w:rsidR="009864E4" w:rsidRPr="00AA09AA">
        <w:rPr>
          <w:rFonts w:ascii="Verdana" w:hAnsi="Verdana"/>
          <w:sz w:val="20"/>
          <w:lang w:val="en-GB"/>
        </w:rPr>
        <w:t xml:space="preserve"> of billions”. This means that the success of the operation depends not just on the willingness of banks to make loans and sell them, but also on the willingness of financial institutions to create ABS and covered bonds. </w:t>
      </w:r>
    </w:p>
    <w:p w:rsidR="0086100F" w:rsidRPr="00AA09AA" w:rsidRDefault="00B817BC" w:rsidP="00160323">
      <w:pPr>
        <w:spacing w:line="264" w:lineRule="auto"/>
        <w:rPr>
          <w:rFonts w:ascii="Verdana" w:hAnsi="Verdana"/>
          <w:sz w:val="20"/>
          <w:lang w:val="en-GB"/>
        </w:rPr>
      </w:pPr>
      <w:r w:rsidRPr="00AA09AA">
        <w:rPr>
          <w:rFonts w:ascii="Verdana" w:hAnsi="Verdana"/>
          <w:sz w:val="20"/>
          <w:lang w:val="en-GB"/>
        </w:rPr>
        <w:t>On the other hand</w:t>
      </w:r>
      <w:r w:rsidR="0012297A" w:rsidRPr="00AA09AA">
        <w:rPr>
          <w:rFonts w:ascii="Verdana" w:hAnsi="Verdana"/>
          <w:sz w:val="20"/>
          <w:lang w:val="en-GB"/>
        </w:rPr>
        <w:t xml:space="preserve">, if liquidity indeed increases in very large amounts, the programmes may help the Eurozone recover growth. </w:t>
      </w:r>
      <w:r w:rsidR="005A494E" w:rsidRPr="00AA09AA">
        <w:rPr>
          <w:rFonts w:ascii="Verdana" w:hAnsi="Verdana"/>
          <w:sz w:val="20"/>
          <w:lang w:val="en-GB"/>
        </w:rPr>
        <w:t>A key reason</w:t>
      </w:r>
      <w:r w:rsidR="00BB340D" w:rsidRPr="00AA09AA">
        <w:rPr>
          <w:rFonts w:ascii="Verdana" w:hAnsi="Verdana"/>
          <w:sz w:val="20"/>
          <w:lang w:val="en-GB"/>
        </w:rPr>
        <w:t>, noted above,</w:t>
      </w:r>
      <w:r w:rsidR="005A494E" w:rsidRPr="00AA09AA">
        <w:rPr>
          <w:rFonts w:ascii="Verdana" w:hAnsi="Verdana"/>
          <w:sz w:val="20"/>
          <w:lang w:val="en-GB"/>
        </w:rPr>
        <w:t xml:space="preserve"> is that the exchange rate of the euro should decline, possibly quite significantly, thus boosting external competitiveness. The importance of this channel cannot be exaggerated, although the ECB will not want to </w:t>
      </w:r>
      <w:r w:rsidR="00071278" w:rsidRPr="00AA09AA">
        <w:rPr>
          <w:rFonts w:ascii="Verdana" w:hAnsi="Verdana"/>
          <w:sz w:val="20"/>
          <w:lang w:val="en-GB"/>
        </w:rPr>
        <w:t xml:space="preserve">elaborate on this ‘beggar-thy-neighbour’ aspect. </w:t>
      </w:r>
      <w:r w:rsidR="0086100F" w:rsidRPr="00AA09AA">
        <w:rPr>
          <w:lang w:val="en-GB"/>
        </w:rPr>
        <w:br w:type="page"/>
      </w:r>
    </w:p>
    <w:p w:rsidR="00707D3E" w:rsidRPr="00AA09AA" w:rsidRDefault="0086100F" w:rsidP="00C000D7">
      <w:pPr>
        <w:pStyle w:val="StyleHeading1Verdana14ptBoldDarkBlueAllcaps"/>
      </w:pPr>
      <w:bookmarkStart w:id="30" w:name="_Toc398554031"/>
      <w:r w:rsidRPr="00AA09AA">
        <w:t>CONCLUSION</w:t>
      </w:r>
      <w:bookmarkEnd w:id="30"/>
    </w:p>
    <w:p w:rsidR="000A5658" w:rsidRPr="00AA09AA" w:rsidRDefault="008023F2" w:rsidP="000E292F">
      <w:pPr>
        <w:spacing w:after="120" w:line="264" w:lineRule="auto"/>
        <w:rPr>
          <w:rFonts w:ascii="Verdana" w:hAnsi="Verdana"/>
          <w:sz w:val="20"/>
          <w:lang w:val="en-GB"/>
        </w:rPr>
      </w:pPr>
      <w:r w:rsidRPr="00AA09AA">
        <w:rPr>
          <w:rFonts w:ascii="Verdana" w:hAnsi="Verdana"/>
          <w:sz w:val="20"/>
          <w:lang w:val="en-GB"/>
        </w:rPr>
        <w:t xml:space="preserve">Having missed its inflation target, the ECB had really no choice but to act. The interest rate decision has been mostly symbolic since the zero lower bound has been reached. The important decisions are those that create a Eurozone-style QE programme. </w:t>
      </w:r>
      <w:r w:rsidR="00672A5C" w:rsidRPr="00AA09AA">
        <w:rPr>
          <w:rFonts w:ascii="Verdana" w:hAnsi="Verdana"/>
          <w:sz w:val="20"/>
          <w:lang w:val="en-GB"/>
        </w:rPr>
        <w:t xml:space="preserve">Given the </w:t>
      </w:r>
      <w:r w:rsidRPr="00AA09AA">
        <w:rPr>
          <w:rFonts w:ascii="Verdana" w:hAnsi="Verdana"/>
          <w:sz w:val="20"/>
          <w:lang w:val="en-GB"/>
        </w:rPr>
        <w:t>situation</w:t>
      </w:r>
      <w:r w:rsidR="00672A5C" w:rsidRPr="00AA09AA">
        <w:rPr>
          <w:rFonts w:ascii="Verdana" w:hAnsi="Verdana"/>
          <w:sz w:val="20"/>
          <w:lang w:val="en-GB"/>
        </w:rPr>
        <w:t xml:space="preserve">, it was just a matter of time until the ECB would </w:t>
      </w:r>
      <w:r w:rsidRPr="00AA09AA">
        <w:rPr>
          <w:rFonts w:ascii="Verdana" w:hAnsi="Verdana"/>
          <w:sz w:val="20"/>
          <w:lang w:val="en-GB"/>
        </w:rPr>
        <w:t xml:space="preserve">decide to follow other major central banks. </w:t>
      </w:r>
      <w:r w:rsidR="00672A5C" w:rsidRPr="00AA09AA">
        <w:rPr>
          <w:rFonts w:ascii="Verdana" w:hAnsi="Verdana"/>
          <w:sz w:val="20"/>
          <w:lang w:val="en-GB"/>
        </w:rPr>
        <w:t xml:space="preserve">Probably, it has been held by non-economic considerations. </w:t>
      </w:r>
      <w:r w:rsidR="00BB340D" w:rsidRPr="00AA09AA">
        <w:rPr>
          <w:rFonts w:ascii="Verdana" w:hAnsi="Verdana"/>
          <w:sz w:val="20"/>
          <w:lang w:val="en-GB"/>
        </w:rPr>
        <w:t>The same considerations may</w:t>
      </w:r>
      <w:r w:rsidRPr="00AA09AA">
        <w:rPr>
          <w:rFonts w:ascii="Verdana" w:hAnsi="Verdana"/>
          <w:sz w:val="20"/>
          <w:lang w:val="en-GB"/>
        </w:rPr>
        <w:t xml:space="preserve"> also have </w:t>
      </w:r>
      <w:r w:rsidR="00672A5C" w:rsidRPr="00AA09AA">
        <w:rPr>
          <w:rFonts w:ascii="Verdana" w:hAnsi="Verdana"/>
          <w:sz w:val="20"/>
          <w:lang w:val="en-GB"/>
        </w:rPr>
        <w:t xml:space="preserve">shaped </w:t>
      </w:r>
      <w:r w:rsidRPr="00AA09AA">
        <w:rPr>
          <w:rFonts w:ascii="Verdana" w:hAnsi="Verdana"/>
          <w:sz w:val="20"/>
          <w:lang w:val="en-GB"/>
        </w:rPr>
        <w:t xml:space="preserve">the </w:t>
      </w:r>
      <w:r w:rsidR="00672A5C" w:rsidRPr="00AA09AA">
        <w:rPr>
          <w:rFonts w:ascii="Verdana" w:hAnsi="Verdana"/>
          <w:sz w:val="20"/>
          <w:lang w:val="en-GB"/>
        </w:rPr>
        <w:t>programme</w:t>
      </w:r>
      <w:r w:rsidR="00707D3E" w:rsidRPr="00AA09AA">
        <w:rPr>
          <w:rFonts w:ascii="Verdana" w:hAnsi="Verdana"/>
          <w:sz w:val="20"/>
          <w:lang w:val="en-GB"/>
        </w:rPr>
        <w:t xml:space="preserve">. </w:t>
      </w:r>
    </w:p>
    <w:p w:rsidR="00803121" w:rsidRPr="00AA09AA" w:rsidRDefault="000A5658" w:rsidP="000E292F">
      <w:pPr>
        <w:spacing w:after="120" w:line="264" w:lineRule="auto"/>
        <w:rPr>
          <w:rFonts w:ascii="Verdana" w:hAnsi="Verdana"/>
          <w:sz w:val="20"/>
          <w:lang w:val="en-GB"/>
        </w:rPr>
      </w:pPr>
      <w:r w:rsidRPr="00AA09AA">
        <w:rPr>
          <w:rFonts w:ascii="Verdana" w:hAnsi="Verdana"/>
          <w:sz w:val="20"/>
          <w:lang w:val="en-GB"/>
        </w:rPr>
        <w:t>What are these non-economic considerations?</w:t>
      </w:r>
      <w:r w:rsidR="005821C7" w:rsidRPr="00AA09AA">
        <w:rPr>
          <w:rFonts w:ascii="Verdana" w:hAnsi="Verdana"/>
          <w:sz w:val="20"/>
          <w:lang w:val="en-GB"/>
        </w:rPr>
        <w:t xml:space="preserve"> The first one is the deeply misguided view that rapid increases in liquidity must always lead to high inflation rates. </w:t>
      </w:r>
      <w:r w:rsidR="00394A6C" w:rsidRPr="00AA09AA">
        <w:rPr>
          <w:rFonts w:ascii="Verdana" w:hAnsi="Verdana"/>
          <w:sz w:val="20"/>
          <w:lang w:val="en-GB"/>
        </w:rPr>
        <w:t>While this is a good rule under normal circumstances, it can be highly misleading in crisis conditions</w:t>
      </w:r>
      <w:r w:rsidR="00685C0C" w:rsidRPr="00AA09AA">
        <w:rPr>
          <w:rFonts w:ascii="Verdana" w:hAnsi="Verdana"/>
          <w:sz w:val="20"/>
          <w:lang w:val="en-GB"/>
        </w:rPr>
        <w:t xml:space="preserve">. In </w:t>
      </w:r>
      <w:r w:rsidR="00803121" w:rsidRPr="00AA09AA">
        <w:rPr>
          <w:rFonts w:ascii="Verdana" w:hAnsi="Verdana"/>
          <w:sz w:val="20"/>
          <w:lang w:val="en-GB"/>
        </w:rPr>
        <w:t xml:space="preserve">normal times, commercial banks use </w:t>
      </w:r>
      <w:r w:rsidR="00685C0C" w:rsidRPr="00AA09AA">
        <w:rPr>
          <w:rFonts w:ascii="Verdana" w:hAnsi="Verdana"/>
          <w:sz w:val="20"/>
          <w:lang w:val="en-GB"/>
        </w:rPr>
        <w:t xml:space="preserve">their </w:t>
      </w:r>
      <w:r w:rsidR="00803121" w:rsidRPr="00AA09AA">
        <w:rPr>
          <w:rFonts w:ascii="Verdana" w:hAnsi="Verdana"/>
          <w:sz w:val="20"/>
          <w:lang w:val="en-GB"/>
        </w:rPr>
        <w:t xml:space="preserve">liquidity to grant loans, which feeds demand and ultimately inflation. In the current conditions, the traditional link is broken as banks do not grant loans and rather hoard liquidity. Indeed, the central banks are trying to discourage hoarding – including with negative interest rates – and to encourage bank lending. </w:t>
      </w:r>
    </w:p>
    <w:p w:rsidR="00803121" w:rsidRPr="00AA09AA" w:rsidRDefault="00803121" w:rsidP="000E292F">
      <w:pPr>
        <w:spacing w:after="120" w:line="264" w:lineRule="auto"/>
        <w:rPr>
          <w:rFonts w:ascii="Verdana" w:hAnsi="Verdana"/>
          <w:sz w:val="20"/>
          <w:lang w:val="en-GB"/>
        </w:rPr>
      </w:pPr>
      <w:r w:rsidRPr="00AA09AA">
        <w:rPr>
          <w:rFonts w:ascii="Verdana" w:hAnsi="Verdana"/>
          <w:sz w:val="20"/>
          <w:lang w:val="en-GB"/>
        </w:rPr>
        <w:t xml:space="preserve">The second consideration, influenced by the first one, is that some non-crisis countries do not want </w:t>
      </w:r>
      <w:r w:rsidR="00685C0C" w:rsidRPr="00AA09AA">
        <w:rPr>
          <w:rFonts w:ascii="Verdana" w:hAnsi="Verdana"/>
          <w:sz w:val="20"/>
          <w:lang w:val="en-GB"/>
        </w:rPr>
        <w:t xml:space="preserve">the ECB </w:t>
      </w:r>
      <w:r w:rsidRPr="00AA09AA">
        <w:rPr>
          <w:rFonts w:ascii="Verdana" w:hAnsi="Verdana"/>
          <w:sz w:val="20"/>
          <w:lang w:val="en-GB"/>
        </w:rPr>
        <w:t xml:space="preserve">to take risks. They do not wish to have to finance the crisis countries. In some cases, they see the poor growth environment as an encouragement to undertake long-delayed structural reforms. However, outside mandatory IMF-style programs, there is no evidence that poor economic conditions encourage serious reforms. </w:t>
      </w:r>
    </w:p>
    <w:p w:rsidR="00803121" w:rsidRPr="00AA09AA" w:rsidRDefault="00803121" w:rsidP="000E292F">
      <w:pPr>
        <w:spacing w:after="120" w:line="264" w:lineRule="auto"/>
        <w:rPr>
          <w:rFonts w:ascii="Verdana" w:hAnsi="Verdana"/>
          <w:sz w:val="20"/>
          <w:lang w:val="en-GB"/>
        </w:rPr>
      </w:pPr>
      <w:r w:rsidRPr="00AA09AA">
        <w:rPr>
          <w:rFonts w:ascii="Verdana" w:hAnsi="Verdana"/>
          <w:sz w:val="20"/>
          <w:lang w:val="en-GB"/>
        </w:rPr>
        <w:t xml:space="preserve">The third consideration, also influenced by the first one, is that QE involves indirect financing of deficits and debts. Indeed, large-scale QE involve massive purchases of public debt instruments. There is evidence that it is indeed the case. The reason is that deficit and debt financing leads to large increases in liquidity and therefore to rapid inflation. “Therefore”, however, does not hold, as argued above. </w:t>
      </w:r>
    </w:p>
    <w:p w:rsidR="000A5658" w:rsidRPr="00AA09AA" w:rsidRDefault="00803121" w:rsidP="000E292F">
      <w:pPr>
        <w:spacing w:after="120" w:line="264" w:lineRule="auto"/>
        <w:rPr>
          <w:rFonts w:ascii="Verdana" w:hAnsi="Verdana"/>
          <w:sz w:val="20"/>
          <w:lang w:val="en-GB"/>
        </w:rPr>
      </w:pPr>
      <w:r w:rsidRPr="00AA09AA">
        <w:rPr>
          <w:rFonts w:ascii="Verdana" w:hAnsi="Verdana"/>
          <w:sz w:val="20"/>
          <w:lang w:val="en-GB"/>
        </w:rPr>
        <w:t>These misconceptions influence the ECB. This is why it waited far too long to adopt its programmes. This is also it has chosen a weak form of QE. One can hope that the programmes will work, as they did in the UK and the US. Given their dependence on commercial bank behaviour, this is not guaranteed</w:t>
      </w:r>
      <w:r w:rsidR="004D0205" w:rsidRPr="00AA09AA">
        <w:rPr>
          <w:rFonts w:ascii="Verdana" w:hAnsi="Verdana"/>
          <w:sz w:val="20"/>
          <w:lang w:val="en-GB"/>
        </w:rPr>
        <w:t xml:space="preserve">. </w:t>
      </w:r>
    </w:p>
    <w:p w:rsidR="000A5658" w:rsidRPr="00AA09AA" w:rsidRDefault="000A5658" w:rsidP="000E292F">
      <w:pPr>
        <w:spacing w:after="120" w:line="264" w:lineRule="auto"/>
        <w:rPr>
          <w:rFonts w:ascii="Verdana" w:hAnsi="Verdana"/>
          <w:sz w:val="20"/>
          <w:lang w:val="en-GB"/>
        </w:rPr>
      </w:pPr>
    </w:p>
    <w:p w:rsidR="00707D3E" w:rsidRPr="00AA09AA" w:rsidRDefault="00707D3E" w:rsidP="000E292F">
      <w:pPr>
        <w:pStyle w:val="StyleOtherheading1Before12ptLinespacingMultiple11"/>
      </w:pPr>
      <w:r w:rsidRPr="00AA09AA">
        <w:rPr>
          <w:rStyle w:val="StyleOtherheading110ptChar"/>
        </w:rPr>
        <w:br w:type="page"/>
      </w:r>
      <w:bookmarkStart w:id="31" w:name="_Toc398554032"/>
      <w:r w:rsidRPr="00AA09AA">
        <w:t>REFERENCES</w:t>
      </w:r>
      <w:bookmarkEnd w:id="31"/>
    </w:p>
    <w:p w:rsidR="00C65921" w:rsidRPr="00AA09AA" w:rsidRDefault="005F7FCA" w:rsidP="007D6C33">
      <w:pPr>
        <w:numPr>
          <w:ilvl w:val="0"/>
          <w:numId w:val="33"/>
        </w:numPr>
        <w:tabs>
          <w:tab w:val="clear" w:pos="72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426"/>
        </w:tabs>
        <w:spacing w:after="120" w:line="264" w:lineRule="auto"/>
        <w:ind w:left="426" w:hanging="426"/>
        <w:rPr>
          <w:rFonts w:ascii="Verdana" w:hAnsi="Verdana"/>
          <w:sz w:val="20"/>
          <w:lang w:val="en-GB"/>
        </w:rPr>
      </w:pPr>
      <w:r w:rsidRPr="00AA09AA">
        <w:rPr>
          <w:rFonts w:ascii="Verdana" w:hAnsi="Verdana"/>
          <w:sz w:val="20"/>
          <w:szCs w:val="24"/>
          <w:lang w:val="en-GB"/>
        </w:rPr>
        <w:t>Baumeister, Christiane</w:t>
      </w:r>
      <w:r w:rsidRPr="00AA09AA">
        <w:rPr>
          <w:rFonts w:ascii="Verdana" w:hAnsi="Verdana"/>
          <w:sz w:val="20"/>
          <w:szCs w:val="16"/>
          <w:lang w:val="en-GB"/>
        </w:rPr>
        <w:t xml:space="preserve"> </w:t>
      </w:r>
      <w:r w:rsidRPr="00AA09AA">
        <w:rPr>
          <w:rFonts w:ascii="Verdana" w:hAnsi="Verdana"/>
          <w:sz w:val="20"/>
          <w:szCs w:val="24"/>
          <w:lang w:val="en-GB"/>
        </w:rPr>
        <w:t>and Luca Benati (2013) “</w:t>
      </w:r>
      <w:r w:rsidRPr="00AA09AA">
        <w:rPr>
          <w:rFonts w:ascii="Verdana" w:hAnsi="Verdana"/>
          <w:sz w:val="20"/>
          <w:szCs w:val="34"/>
          <w:lang w:val="en-GB"/>
        </w:rPr>
        <w:t>Unconventional Monetary Policy and the Great Recession: Estimating the Macroeconomic Effects of a Spread Compression at the Zero Lower Bound</w:t>
      </w:r>
      <w:r w:rsidRPr="00AA09AA">
        <w:rPr>
          <w:rFonts w:ascii="Verdana" w:hAnsi="Verdana"/>
          <w:sz w:val="20"/>
          <w:szCs w:val="24"/>
          <w:lang w:val="en-GB"/>
        </w:rPr>
        <w:t xml:space="preserve">”, </w:t>
      </w:r>
      <w:r w:rsidRPr="00AA09AA">
        <w:rPr>
          <w:rFonts w:ascii="Verdana" w:hAnsi="Verdana"/>
          <w:i/>
          <w:sz w:val="20"/>
          <w:szCs w:val="24"/>
          <w:lang w:val="en-GB"/>
        </w:rPr>
        <w:t>International Journal of Central Banking</w:t>
      </w:r>
      <w:r w:rsidRPr="00AA09AA">
        <w:rPr>
          <w:rFonts w:ascii="Verdana" w:hAnsi="Verdana"/>
          <w:sz w:val="20"/>
          <w:szCs w:val="24"/>
          <w:lang w:val="en-GB"/>
        </w:rPr>
        <w:t xml:space="preserve"> </w:t>
      </w:r>
      <w:r w:rsidR="00DB1087" w:rsidRPr="00AA09AA">
        <w:rPr>
          <w:rFonts w:ascii="Verdana" w:hAnsi="Verdana"/>
          <w:sz w:val="20"/>
          <w:szCs w:val="24"/>
          <w:lang w:val="en-GB"/>
        </w:rPr>
        <w:t>10(3): 165-212.</w:t>
      </w:r>
    </w:p>
    <w:p w:rsidR="00724F8E" w:rsidRPr="00AA09AA" w:rsidRDefault="00724F8E" w:rsidP="007D6C33">
      <w:pPr>
        <w:widowControl w:val="0"/>
        <w:numPr>
          <w:ilvl w:val="0"/>
          <w:numId w:val="33"/>
        </w:numPr>
        <w:tabs>
          <w:tab w:val="clear" w:pos="72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426"/>
        </w:tabs>
        <w:autoSpaceDE w:val="0"/>
        <w:autoSpaceDN w:val="0"/>
        <w:adjustRightInd w:val="0"/>
        <w:spacing w:after="120" w:line="264" w:lineRule="auto"/>
        <w:ind w:left="426" w:hanging="426"/>
        <w:rPr>
          <w:rFonts w:ascii="Verdana" w:hAnsi="Verdana"/>
          <w:sz w:val="20"/>
          <w:lang w:val="en-GB"/>
        </w:rPr>
      </w:pPr>
      <w:r w:rsidRPr="00AA09AA">
        <w:rPr>
          <w:rFonts w:ascii="Verdana" w:hAnsi="Verdana"/>
          <w:sz w:val="20"/>
          <w:lang w:val="en-GB"/>
        </w:rPr>
        <w:t>Christensen, Jens H. E. and Glenn D. Rudebusch (2012) “</w:t>
      </w:r>
      <w:r w:rsidRPr="00AA09AA">
        <w:rPr>
          <w:rStyle w:val="maintitle"/>
          <w:rFonts w:ascii="Verdana" w:hAnsi="Verdana"/>
          <w:sz w:val="20"/>
          <w:lang w:val="en-GB"/>
        </w:rPr>
        <w:t>The Response of Interest Rates to US and UK Quantitative Easing</w:t>
      </w:r>
      <w:r w:rsidRPr="00AA09AA">
        <w:rPr>
          <w:rFonts w:ascii="Verdana" w:hAnsi="Verdana"/>
          <w:sz w:val="20"/>
          <w:lang w:val="en-GB"/>
        </w:rPr>
        <w:t xml:space="preserve">”, </w:t>
      </w:r>
      <w:r w:rsidRPr="00AA09AA">
        <w:rPr>
          <w:rFonts w:ascii="Verdana" w:hAnsi="Verdana"/>
          <w:i/>
          <w:sz w:val="20"/>
          <w:lang w:val="en-GB"/>
        </w:rPr>
        <w:t>The Economic Journal</w:t>
      </w:r>
      <w:r w:rsidRPr="00AA09AA">
        <w:rPr>
          <w:rFonts w:ascii="Verdana" w:hAnsi="Verdana"/>
          <w:sz w:val="20"/>
          <w:lang w:val="en-GB"/>
        </w:rPr>
        <w:t xml:space="preserve"> 122(564): F385–F414. </w:t>
      </w:r>
    </w:p>
    <w:p w:rsidR="00C65921" w:rsidRPr="00AA09AA" w:rsidRDefault="006B2068" w:rsidP="007D6C33">
      <w:pPr>
        <w:numPr>
          <w:ilvl w:val="0"/>
          <w:numId w:val="33"/>
        </w:numPr>
        <w:tabs>
          <w:tab w:val="clear" w:pos="72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426"/>
        </w:tabs>
        <w:spacing w:after="120" w:line="264" w:lineRule="auto"/>
        <w:ind w:left="426" w:hanging="426"/>
        <w:rPr>
          <w:rFonts w:ascii="Verdana" w:hAnsi="Verdana"/>
          <w:sz w:val="20"/>
          <w:lang w:val="en-GB"/>
        </w:rPr>
      </w:pPr>
      <w:r w:rsidRPr="00AA09AA">
        <w:rPr>
          <w:rFonts w:ascii="Verdana" w:hAnsi="Verdana"/>
          <w:sz w:val="20"/>
          <w:lang w:val="en-GB" w:eastAsia="en-US"/>
        </w:rPr>
        <w:t>Kapetanios, George, Haroon Mumtaz, Ibrahim Stevens and Konstantinos Theodoridis (2012) “</w:t>
      </w:r>
      <w:r w:rsidRPr="00AA09AA">
        <w:rPr>
          <w:rStyle w:val="maintitle"/>
          <w:rFonts w:ascii="Verdana" w:hAnsi="Verdana"/>
          <w:sz w:val="20"/>
          <w:lang w:val="en-GB"/>
        </w:rPr>
        <w:t xml:space="preserve">Assessing the Economy-wide Effects of Quantitative Easing”, </w:t>
      </w:r>
      <w:r w:rsidRPr="00AA09AA">
        <w:rPr>
          <w:rFonts w:ascii="Verdana" w:hAnsi="Verdana"/>
          <w:i/>
          <w:sz w:val="20"/>
          <w:lang w:val="en-GB"/>
        </w:rPr>
        <w:t>The Economic Journal</w:t>
      </w:r>
      <w:r w:rsidRPr="00AA09AA">
        <w:rPr>
          <w:rFonts w:ascii="Verdana" w:hAnsi="Verdana"/>
          <w:sz w:val="20"/>
          <w:lang w:val="en-GB"/>
        </w:rPr>
        <w:t xml:space="preserve"> 122(564): F316-F347.</w:t>
      </w:r>
    </w:p>
    <w:p w:rsidR="009C37A8" w:rsidRPr="00AA09AA" w:rsidRDefault="00DB1087" w:rsidP="007D6C33">
      <w:pPr>
        <w:widowControl w:val="0"/>
        <w:numPr>
          <w:ilvl w:val="0"/>
          <w:numId w:val="33"/>
        </w:numPr>
        <w:tabs>
          <w:tab w:val="clear" w:pos="72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426"/>
        </w:tabs>
        <w:autoSpaceDE w:val="0"/>
        <w:autoSpaceDN w:val="0"/>
        <w:adjustRightInd w:val="0"/>
        <w:spacing w:after="120" w:line="264" w:lineRule="auto"/>
        <w:ind w:left="426" w:hanging="426"/>
        <w:rPr>
          <w:rFonts w:ascii="Verdana" w:hAnsi="Verdana"/>
          <w:sz w:val="20"/>
          <w:lang w:val="en-GB"/>
        </w:rPr>
      </w:pPr>
      <w:r w:rsidRPr="00AA09AA">
        <w:rPr>
          <w:rFonts w:ascii="Verdana" w:hAnsi="Verdana"/>
          <w:sz w:val="20"/>
          <w:szCs w:val="22"/>
          <w:lang w:val="en-GB"/>
        </w:rPr>
        <w:t>Krishnamurth</w:t>
      </w:r>
      <w:r w:rsidR="00724F8E" w:rsidRPr="00AA09AA">
        <w:rPr>
          <w:rFonts w:ascii="Verdana" w:hAnsi="Verdana"/>
          <w:sz w:val="20"/>
          <w:szCs w:val="22"/>
          <w:lang w:val="en-GB"/>
        </w:rPr>
        <w:t>y, A., and A. Vissing-Jorgensen</w:t>
      </w:r>
      <w:r w:rsidRPr="00AA09AA">
        <w:rPr>
          <w:rFonts w:ascii="Verdana" w:hAnsi="Verdana"/>
          <w:sz w:val="20"/>
          <w:szCs w:val="22"/>
          <w:lang w:val="en-GB"/>
        </w:rPr>
        <w:t xml:space="preserve"> </w:t>
      </w:r>
      <w:r w:rsidR="00724F8E" w:rsidRPr="00AA09AA">
        <w:rPr>
          <w:rFonts w:ascii="Verdana" w:hAnsi="Verdana"/>
          <w:sz w:val="20"/>
          <w:szCs w:val="22"/>
          <w:lang w:val="en-GB"/>
        </w:rPr>
        <w:t>(2011)</w:t>
      </w:r>
      <w:r w:rsidRPr="00AA09AA">
        <w:rPr>
          <w:rFonts w:ascii="Verdana" w:hAnsi="Verdana"/>
          <w:sz w:val="20"/>
          <w:szCs w:val="22"/>
          <w:lang w:val="en-GB"/>
        </w:rPr>
        <w:t xml:space="preserve"> “The Effects</w:t>
      </w:r>
      <w:r w:rsidR="00C65921" w:rsidRPr="00AA09AA">
        <w:rPr>
          <w:rFonts w:ascii="Verdana" w:hAnsi="Verdana"/>
          <w:sz w:val="20"/>
          <w:lang w:val="en-GB"/>
        </w:rPr>
        <w:t xml:space="preserve"> </w:t>
      </w:r>
      <w:r w:rsidRPr="00AA09AA">
        <w:rPr>
          <w:rFonts w:ascii="Verdana" w:hAnsi="Verdana"/>
          <w:sz w:val="20"/>
          <w:szCs w:val="22"/>
          <w:lang w:val="en-GB"/>
        </w:rPr>
        <w:t>of Quantitative Easing on Interest Rates: Channels and Policy</w:t>
      </w:r>
      <w:r w:rsidR="00C65921" w:rsidRPr="00AA09AA">
        <w:rPr>
          <w:rFonts w:ascii="Verdana" w:hAnsi="Verdana"/>
          <w:sz w:val="20"/>
          <w:szCs w:val="22"/>
          <w:lang w:val="en-GB"/>
        </w:rPr>
        <w:t xml:space="preserve"> Implications</w:t>
      </w:r>
      <w:r w:rsidRPr="00AA09AA">
        <w:rPr>
          <w:rFonts w:ascii="Verdana" w:hAnsi="Verdana"/>
          <w:sz w:val="20"/>
          <w:szCs w:val="22"/>
          <w:lang w:val="en-GB"/>
        </w:rPr>
        <w:t>”</w:t>
      </w:r>
      <w:r w:rsidR="00C65921" w:rsidRPr="00AA09AA">
        <w:rPr>
          <w:rFonts w:ascii="Verdana" w:hAnsi="Verdana"/>
          <w:sz w:val="20"/>
          <w:szCs w:val="22"/>
          <w:lang w:val="en-GB"/>
        </w:rPr>
        <w:t>,</w:t>
      </w:r>
      <w:r w:rsidRPr="00AA09AA">
        <w:rPr>
          <w:rFonts w:ascii="Verdana" w:hAnsi="Verdana"/>
          <w:sz w:val="20"/>
          <w:szCs w:val="22"/>
          <w:lang w:val="en-GB"/>
        </w:rPr>
        <w:t xml:space="preserve"> </w:t>
      </w:r>
      <w:r w:rsidRPr="00AA09AA">
        <w:rPr>
          <w:rFonts w:ascii="Verdana" w:hAnsi="Verdana"/>
          <w:i/>
          <w:sz w:val="20"/>
          <w:szCs w:val="22"/>
          <w:lang w:val="en-GB"/>
        </w:rPr>
        <w:t xml:space="preserve">Brookings Papers </w:t>
      </w:r>
      <w:r w:rsidR="00C65921" w:rsidRPr="00AA09AA">
        <w:rPr>
          <w:rFonts w:ascii="Verdana" w:hAnsi="Verdana"/>
          <w:i/>
          <w:sz w:val="20"/>
          <w:szCs w:val="22"/>
          <w:lang w:val="en-GB"/>
        </w:rPr>
        <w:t>on Economic Activity</w:t>
      </w:r>
      <w:r w:rsidR="00C65921" w:rsidRPr="00AA09AA">
        <w:rPr>
          <w:rFonts w:ascii="Verdana" w:hAnsi="Verdana"/>
          <w:sz w:val="20"/>
          <w:szCs w:val="22"/>
          <w:lang w:val="en-GB"/>
        </w:rPr>
        <w:t xml:space="preserve"> 2</w:t>
      </w:r>
      <w:r w:rsidRPr="00AA09AA">
        <w:rPr>
          <w:rFonts w:ascii="Verdana" w:hAnsi="Verdana"/>
          <w:sz w:val="20"/>
          <w:szCs w:val="22"/>
          <w:lang w:val="en-GB"/>
        </w:rPr>
        <w:t>:</w:t>
      </w:r>
      <w:r w:rsidR="00C65921" w:rsidRPr="00AA09AA">
        <w:rPr>
          <w:rFonts w:ascii="Verdana" w:hAnsi="Verdana"/>
          <w:sz w:val="20"/>
          <w:szCs w:val="22"/>
          <w:lang w:val="en-GB"/>
        </w:rPr>
        <w:t xml:space="preserve"> </w:t>
      </w:r>
      <w:r w:rsidRPr="00AA09AA">
        <w:rPr>
          <w:rFonts w:ascii="Verdana" w:hAnsi="Verdana"/>
          <w:sz w:val="20"/>
          <w:szCs w:val="22"/>
          <w:lang w:val="en-GB"/>
        </w:rPr>
        <w:t>215–65.</w:t>
      </w:r>
      <w:r w:rsidR="00C65921" w:rsidRPr="00AA09AA">
        <w:rPr>
          <w:rFonts w:ascii="Verdana" w:hAnsi="Verdana"/>
          <w:sz w:val="20"/>
          <w:szCs w:val="22"/>
          <w:lang w:val="en-GB"/>
        </w:rPr>
        <w:t xml:space="preserve"> </w:t>
      </w:r>
    </w:p>
    <w:p w:rsidR="00C65921" w:rsidRPr="00AA09AA" w:rsidRDefault="009C37A8" w:rsidP="007D6C33">
      <w:pPr>
        <w:widowControl w:val="0"/>
        <w:numPr>
          <w:ilvl w:val="0"/>
          <w:numId w:val="33"/>
        </w:numPr>
        <w:tabs>
          <w:tab w:val="clear" w:pos="72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426"/>
        </w:tabs>
        <w:autoSpaceDE w:val="0"/>
        <w:autoSpaceDN w:val="0"/>
        <w:adjustRightInd w:val="0"/>
        <w:spacing w:after="120" w:line="264" w:lineRule="auto"/>
        <w:ind w:left="426" w:hanging="426"/>
        <w:rPr>
          <w:rFonts w:ascii="Verdana" w:hAnsi="Verdana"/>
          <w:sz w:val="20"/>
          <w:lang w:val="en-GB"/>
        </w:rPr>
      </w:pPr>
      <w:r w:rsidRPr="00AA09AA">
        <w:rPr>
          <w:rFonts w:ascii="Verdana" w:hAnsi="Verdana"/>
          <w:sz w:val="20"/>
          <w:szCs w:val="22"/>
          <w:lang w:val="en-GB"/>
        </w:rPr>
        <w:t xml:space="preserve">Wyplosz, Charles (2011) “Changing of the Guards at the ECB”, Briefing Note to the </w:t>
      </w:r>
      <w:r w:rsidR="004F5601" w:rsidRPr="00AA09AA">
        <w:rPr>
          <w:rFonts w:ascii="Verdana" w:hAnsi="Verdana"/>
          <w:sz w:val="20"/>
          <w:szCs w:val="22"/>
          <w:lang w:val="en-GB"/>
        </w:rPr>
        <w:t xml:space="preserve">Committee for </w:t>
      </w:r>
      <w:r w:rsidRPr="00AA09AA">
        <w:rPr>
          <w:rFonts w:ascii="Verdana" w:hAnsi="Verdana"/>
          <w:sz w:val="20"/>
          <w:szCs w:val="22"/>
          <w:lang w:val="en-GB"/>
        </w:rPr>
        <w:t xml:space="preserve">Economic and Monetary </w:t>
      </w:r>
      <w:r w:rsidR="004F5601" w:rsidRPr="00AA09AA">
        <w:rPr>
          <w:rFonts w:ascii="Verdana" w:hAnsi="Verdana"/>
          <w:sz w:val="20"/>
          <w:szCs w:val="22"/>
          <w:lang w:val="en-GB"/>
        </w:rPr>
        <w:t>Affairs</w:t>
      </w:r>
      <w:r w:rsidRPr="00AA09AA">
        <w:rPr>
          <w:rFonts w:ascii="Verdana" w:hAnsi="Verdana"/>
          <w:sz w:val="20"/>
          <w:szCs w:val="22"/>
          <w:lang w:val="en-GB"/>
        </w:rPr>
        <w:t xml:space="preserve">, European Parliament. </w:t>
      </w:r>
    </w:p>
    <w:p w:rsidR="00707D3E" w:rsidRPr="00AA09AA" w:rsidRDefault="00707D3E" w:rsidP="000E292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line="264" w:lineRule="auto"/>
        <w:ind w:left="426"/>
        <w:rPr>
          <w:rFonts w:ascii="Verdana" w:hAnsi="Verdana"/>
          <w:sz w:val="20"/>
          <w:lang w:val="en-GB"/>
        </w:rPr>
      </w:pPr>
    </w:p>
    <w:sectPr w:rsidR="00707D3E" w:rsidRPr="00AA09AA" w:rsidSect="00C17317">
      <w:headerReference w:type="even" r:id="rId21"/>
      <w:headerReference w:type="default" r:id="rId22"/>
      <w:footerReference w:type="even" r:id="rId23"/>
      <w:footerReference w:type="default" r:id="rId24"/>
      <w:headerReference w:type="first" r:id="rId25"/>
      <w:endnotePr>
        <w:numFmt w:val="decimal"/>
      </w:endnotePr>
      <w:pgSz w:w="11905" w:h="16837" w:code="9"/>
      <w:pgMar w:top="1418" w:right="1191" w:bottom="1418" w:left="1418" w:header="709" w:footer="709" w:gutter="0"/>
      <w:pgNumType w:start="3"/>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6C" w:rsidRDefault="000A706C">
      <w:r>
        <w:separator/>
      </w:r>
    </w:p>
  </w:endnote>
  <w:endnote w:type="continuationSeparator" w:id="0">
    <w:p w:rsidR="000A706C" w:rsidRDefault="000A70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Pr="00E7697D" w:rsidRDefault="000A706C" w:rsidP="00E7697D">
    <w:pPr>
      <w:pStyle w:val="Foot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 w:val="center" w:pos="4678"/>
        <w:tab w:val="right" w:pos="9356"/>
      </w:tabs>
      <w:ind w:right="-60"/>
      <w:rPr>
        <w:rFonts w:ascii="Verdana" w:hAnsi="Verdana"/>
        <w:color w:val="000080"/>
        <w:sz w:val="16"/>
        <w:szCs w:val="16"/>
      </w:rPr>
    </w:pPr>
    <w:r w:rsidRPr="00E7697D">
      <w:rPr>
        <w:rFonts w:ascii="Verdana" w:hAnsi="Verdana"/>
        <w:color w:val="000080"/>
        <w:sz w:val="16"/>
        <w:szCs w:val="16"/>
      </w:rPr>
      <w:tab/>
    </w:r>
    <w:r w:rsidR="00460E72" w:rsidRPr="00E7697D">
      <w:rPr>
        <w:rStyle w:val="PageNumber"/>
        <w:rFonts w:ascii="Verdana" w:hAnsi="Verdana"/>
        <w:color w:val="000080"/>
        <w:sz w:val="16"/>
        <w:szCs w:val="16"/>
      </w:rPr>
      <w:fldChar w:fldCharType="begin"/>
    </w:r>
    <w:r w:rsidRPr="00E7697D">
      <w:rPr>
        <w:rStyle w:val="PageNumber"/>
        <w:rFonts w:ascii="Verdana" w:hAnsi="Verdana"/>
        <w:color w:val="000080"/>
        <w:sz w:val="16"/>
        <w:szCs w:val="16"/>
      </w:rPr>
      <w:instrText xml:space="preserve"> PAGE </w:instrText>
    </w:r>
    <w:r w:rsidR="00460E72" w:rsidRPr="00E7697D">
      <w:rPr>
        <w:rStyle w:val="PageNumber"/>
        <w:rFonts w:ascii="Verdana" w:hAnsi="Verdana"/>
        <w:color w:val="000080"/>
        <w:sz w:val="16"/>
        <w:szCs w:val="16"/>
      </w:rPr>
      <w:fldChar w:fldCharType="separate"/>
    </w:r>
    <w:r w:rsidR="002C24C4">
      <w:rPr>
        <w:rStyle w:val="PageNumber"/>
        <w:rFonts w:ascii="Verdana" w:hAnsi="Verdana"/>
        <w:noProof/>
        <w:color w:val="000080"/>
        <w:sz w:val="16"/>
        <w:szCs w:val="16"/>
      </w:rPr>
      <w:t>10</w:t>
    </w:r>
    <w:r w:rsidR="00460E72" w:rsidRPr="00E7697D">
      <w:rPr>
        <w:rStyle w:val="PageNumber"/>
        <w:rFonts w:ascii="Verdana" w:hAnsi="Verdana"/>
        <w:color w:val="000080"/>
        <w:sz w:val="16"/>
        <w:szCs w:val="16"/>
      </w:rPr>
      <w:fldChar w:fldCharType="end"/>
    </w:r>
    <w:r w:rsidRPr="00E7697D">
      <w:rPr>
        <w:rStyle w:val="PageNumber"/>
        <w:rFonts w:ascii="Verdana" w:hAnsi="Verdana"/>
        <w:color w:val="000080"/>
        <w:sz w:val="16"/>
        <w:szCs w:val="16"/>
      </w:rPr>
      <w:tab/>
    </w:r>
    <w:r w:rsidRPr="00E7697D">
      <w:rPr>
        <w:rFonts w:ascii="Verdana" w:hAnsi="Verdana"/>
        <w:color w:val="000080"/>
        <w:sz w:val="16"/>
        <w:szCs w:val="16"/>
      </w:rPr>
      <w:t xml:space="preserve">PE: </w:t>
    </w:r>
    <w:r>
      <w:rPr>
        <w:rFonts w:ascii="Verdana" w:hAnsi="Verdana"/>
        <w:color w:val="000080"/>
        <w:sz w:val="16"/>
        <w:szCs w:val="16"/>
      </w:rPr>
      <w:t>536.284</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Pr="00D2570A" w:rsidRDefault="000A706C" w:rsidP="00E7697D">
    <w:pPr>
      <w:pStyle w:val="Foot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 w:val="center" w:pos="4678"/>
      </w:tabs>
      <w:jc w:val="left"/>
      <w:rPr>
        <w:rFonts w:ascii="Verdana" w:hAnsi="Verdana"/>
        <w:color w:val="000080"/>
        <w:sz w:val="16"/>
        <w:szCs w:val="16"/>
      </w:rPr>
    </w:pPr>
    <w:r w:rsidRPr="00E7697D">
      <w:rPr>
        <w:rFonts w:ascii="Verdana" w:hAnsi="Verdana"/>
        <w:color w:val="000080"/>
        <w:sz w:val="16"/>
        <w:szCs w:val="16"/>
      </w:rPr>
      <w:t xml:space="preserve">PE: </w:t>
    </w:r>
    <w:r>
      <w:rPr>
        <w:rFonts w:ascii="Verdana" w:hAnsi="Verdana"/>
        <w:color w:val="000080"/>
        <w:sz w:val="16"/>
        <w:szCs w:val="16"/>
      </w:rPr>
      <w:t>536.284</w:t>
    </w:r>
    <w:r w:rsidRPr="00D2570A">
      <w:rPr>
        <w:rFonts w:ascii="Verdana" w:hAnsi="Verdana"/>
        <w:color w:val="000080"/>
        <w:sz w:val="16"/>
        <w:szCs w:val="16"/>
      </w:rPr>
      <w:tab/>
    </w:r>
    <w:r w:rsidR="00460E72" w:rsidRPr="00D2570A">
      <w:rPr>
        <w:rStyle w:val="PageNumber"/>
        <w:rFonts w:ascii="Verdana" w:hAnsi="Verdana"/>
        <w:color w:val="000080"/>
        <w:sz w:val="16"/>
        <w:szCs w:val="16"/>
      </w:rPr>
      <w:fldChar w:fldCharType="begin"/>
    </w:r>
    <w:r w:rsidRPr="00D2570A">
      <w:rPr>
        <w:rStyle w:val="PageNumber"/>
        <w:rFonts w:ascii="Verdana" w:hAnsi="Verdana"/>
        <w:color w:val="000080"/>
        <w:sz w:val="16"/>
        <w:szCs w:val="16"/>
      </w:rPr>
      <w:instrText xml:space="preserve"> PAGE </w:instrText>
    </w:r>
    <w:r w:rsidR="00460E72" w:rsidRPr="00D2570A">
      <w:rPr>
        <w:rStyle w:val="PageNumber"/>
        <w:rFonts w:ascii="Verdana" w:hAnsi="Verdana"/>
        <w:color w:val="000080"/>
        <w:sz w:val="16"/>
        <w:szCs w:val="16"/>
      </w:rPr>
      <w:fldChar w:fldCharType="separate"/>
    </w:r>
    <w:r w:rsidR="002C24C4">
      <w:rPr>
        <w:rStyle w:val="PageNumber"/>
        <w:rFonts w:ascii="Verdana" w:hAnsi="Verdana"/>
        <w:noProof/>
        <w:color w:val="000080"/>
        <w:sz w:val="16"/>
        <w:szCs w:val="16"/>
      </w:rPr>
      <w:t>11</w:t>
    </w:r>
    <w:r w:rsidR="00460E72" w:rsidRPr="00D2570A">
      <w:rPr>
        <w:rStyle w:val="PageNumber"/>
        <w:rFonts w:ascii="Verdana" w:hAnsi="Verdana"/>
        <w:color w:val="000080"/>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6C" w:rsidRPr="00BA5544" w:rsidRDefault="000A706C">
      <w:pPr>
        <w:rPr>
          <w:rFonts w:ascii="Verdana" w:hAnsi="Verdana"/>
          <w:sz w:val="16"/>
          <w:szCs w:val="16"/>
        </w:rPr>
      </w:pPr>
      <w:r w:rsidRPr="00BA5544">
        <w:rPr>
          <w:rFonts w:ascii="Verdana" w:hAnsi="Verdana"/>
          <w:sz w:val="16"/>
          <w:szCs w:val="16"/>
        </w:rPr>
        <w:separator/>
      </w:r>
    </w:p>
  </w:footnote>
  <w:footnote w:type="continuationSeparator" w:id="0">
    <w:p w:rsidR="000A706C" w:rsidRDefault="000A706C">
      <w:r>
        <w:continuationSeparator/>
      </w:r>
    </w:p>
  </w:footnote>
  <w:footnote w:type="continuationNotice" w:id="1">
    <w:p w:rsidR="000A706C" w:rsidRPr="00BA5544" w:rsidRDefault="000A706C">
      <w:pPr>
        <w:rPr>
          <w:rFonts w:ascii="Verdana" w:hAnsi="Verdana"/>
          <w:sz w:val="16"/>
          <w:szCs w:val="16"/>
        </w:rPr>
      </w:pPr>
    </w:p>
  </w:footnote>
  <w:footnote w:id="2">
    <w:p w:rsidR="000A706C" w:rsidRPr="004641A9" w:rsidRDefault="000A706C" w:rsidP="004641A9">
      <w:pPr>
        <w:pStyle w:val="FootnoteText"/>
        <w:spacing w:after="20"/>
        <w:ind w:left="113" w:hanging="113"/>
        <w:rPr>
          <w:rStyle w:val="FootnoteReference"/>
          <w:sz w:val="24"/>
        </w:rPr>
      </w:pPr>
      <w:r w:rsidRPr="004216FB">
        <w:rPr>
          <w:rStyle w:val="FootnoteReference"/>
          <w:rFonts w:ascii="Verdana" w:hAnsi="Verdana"/>
          <w:sz w:val="16"/>
          <w:szCs w:val="16"/>
          <w:lang w:val="en-GB"/>
        </w:rPr>
        <w:footnoteRef/>
      </w:r>
      <w:r w:rsidRPr="004641A9">
        <w:rPr>
          <w:rStyle w:val="FootnoteReference"/>
          <w:rFonts w:ascii="Verdana" w:hAnsi="Verdana"/>
          <w:sz w:val="16"/>
          <w:szCs w:val="16"/>
          <w:lang w:val="pl-PL"/>
        </w:rPr>
        <w:t xml:space="preserve"> </w:t>
      </w:r>
      <w:r w:rsidRPr="004641A9">
        <w:rPr>
          <w:rStyle w:val="FootnoteReference"/>
          <w:rFonts w:ascii="Verdana" w:hAnsi="Verdana"/>
          <w:sz w:val="16"/>
          <w:szCs w:val="16"/>
          <w:vertAlign w:val="baseline"/>
          <w:lang w:val="pl-PL"/>
        </w:rPr>
        <w:t>E</w:t>
      </w:r>
      <w:r w:rsidRPr="004641A9">
        <w:rPr>
          <w:rFonts w:ascii="Verdana" w:hAnsi="Verdana"/>
          <w:sz w:val="16"/>
          <w:szCs w:val="16"/>
          <w:lang w:val="pl-PL"/>
        </w:rPr>
        <w:t>ONIA</w:t>
      </w:r>
      <w:r w:rsidRPr="004641A9">
        <w:rPr>
          <w:rStyle w:val="FootnoteReference"/>
          <w:rFonts w:ascii="Verdana" w:hAnsi="Verdana"/>
          <w:sz w:val="16"/>
          <w:szCs w:val="16"/>
          <w:vertAlign w:val="baseline"/>
          <w:lang w:val="pl-PL"/>
        </w:rPr>
        <w:t xml:space="preserve"> (Euro OverNight Index Average) is an effective overnight interest rate computed as a weighted average of all overnight unsecured lending transactions in the interbank market in Euros.</w:t>
      </w:r>
    </w:p>
  </w:footnote>
  <w:footnote w:id="3">
    <w:p w:rsidR="000A706C" w:rsidRPr="004641A9" w:rsidRDefault="000A706C" w:rsidP="004641A9">
      <w:pPr>
        <w:pStyle w:val="FootnoteText"/>
        <w:spacing w:after="20"/>
        <w:ind w:left="113" w:hanging="113"/>
        <w:rPr>
          <w:rStyle w:val="FootnoteReference"/>
          <w:sz w:val="24"/>
        </w:rPr>
      </w:pPr>
      <w:r w:rsidRPr="004F4190">
        <w:rPr>
          <w:rStyle w:val="FootnoteReference"/>
          <w:rFonts w:ascii="Verdana" w:hAnsi="Verdana"/>
          <w:sz w:val="16"/>
          <w:szCs w:val="16"/>
          <w:lang w:val="en-GB"/>
        </w:rPr>
        <w:footnoteRef/>
      </w:r>
      <w:r w:rsidRPr="004F4190">
        <w:rPr>
          <w:rStyle w:val="FootnoteReference"/>
          <w:rFonts w:ascii="Verdana" w:hAnsi="Verdana"/>
          <w:sz w:val="16"/>
          <w:szCs w:val="16"/>
          <w:lang w:val="en-GB"/>
        </w:rPr>
        <w:t xml:space="preserve"> </w:t>
      </w:r>
      <w:r w:rsidRPr="004641A9">
        <w:rPr>
          <w:rStyle w:val="FootnoteReference"/>
          <w:rFonts w:ascii="Verdana" w:hAnsi="Verdana"/>
          <w:sz w:val="16"/>
          <w:szCs w:val="16"/>
          <w:vertAlign w:val="baseline"/>
          <w:lang w:val="en-GB"/>
        </w:rPr>
        <w:t xml:space="preserve">Outright Monetary Transactions (OMT) is a program of the European Central Bank under which the bank makes purchases (outright transactions) in </w:t>
      </w:r>
      <w:hyperlink r:id="rId1" w:tooltip="Secondary market" w:history="1">
        <w:r w:rsidRPr="004641A9">
          <w:rPr>
            <w:rStyle w:val="FootnoteReference"/>
            <w:rFonts w:ascii="Verdana" w:hAnsi="Verdana"/>
            <w:sz w:val="16"/>
            <w:szCs w:val="16"/>
            <w:vertAlign w:val="baseline"/>
            <w:lang w:val="en-GB"/>
          </w:rPr>
          <w:t>secondary</w:t>
        </w:r>
      </w:hyperlink>
      <w:r w:rsidRPr="004641A9">
        <w:rPr>
          <w:rStyle w:val="FootnoteReference"/>
          <w:rFonts w:ascii="Verdana" w:hAnsi="Verdana"/>
          <w:sz w:val="16"/>
          <w:szCs w:val="16"/>
          <w:vertAlign w:val="baseline"/>
          <w:lang w:val="en-GB"/>
        </w:rPr>
        <w:t xml:space="preserve">, </w:t>
      </w:r>
      <w:hyperlink r:id="rId2" w:tooltip="Sovereign bond" w:history="1">
        <w:r w:rsidRPr="004641A9">
          <w:rPr>
            <w:rStyle w:val="FootnoteReference"/>
            <w:rFonts w:ascii="Verdana" w:hAnsi="Verdana"/>
            <w:sz w:val="16"/>
            <w:szCs w:val="16"/>
            <w:vertAlign w:val="baseline"/>
            <w:lang w:val="en-GB"/>
          </w:rPr>
          <w:t>sovereign bond</w:t>
        </w:r>
      </w:hyperlink>
      <w:r w:rsidRPr="004641A9">
        <w:rPr>
          <w:rStyle w:val="FootnoteReference"/>
          <w:rFonts w:ascii="Verdana" w:hAnsi="Verdana"/>
          <w:sz w:val="16"/>
          <w:szCs w:val="16"/>
          <w:vertAlign w:val="baseline"/>
          <w:lang w:val="en-GB"/>
        </w:rPr>
        <w:t xml:space="preserve"> markets, under certain conditions, of </w:t>
      </w:r>
      <w:hyperlink r:id="rId3" w:tooltip="Bond (finance)" w:history="1">
        <w:r w:rsidRPr="004641A9">
          <w:rPr>
            <w:rStyle w:val="FootnoteReference"/>
            <w:rFonts w:ascii="Verdana" w:hAnsi="Verdana"/>
            <w:sz w:val="16"/>
            <w:szCs w:val="16"/>
            <w:vertAlign w:val="baseline"/>
            <w:lang w:val="en-GB"/>
          </w:rPr>
          <w:t>bonds</w:t>
        </w:r>
      </w:hyperlink>
      <w:r w:rsidRPr="004641A9">
        <w:rPr>
          <w:rStyle w:val="FootnoteReference"/>
          <w:rFonts w:ascii="Verdana" w:hAnsi="Verdana"/>
          <w:sz w:val="16"/>
          <w:szCs w:val="16"/>
          <w:vertAlign w:val="baseline"/>
          <w:lang w:val="en-GB"/>
        </w:rPr>
        <w:t xml:space="preserve"> issued by </w:t>
      </w:r>
      <w:hyperlink r:id="rId4" w:tooltip="Eurozone" w:history="1">
        <w:r w:rsidRPr="004641A9">
          <w:rPr>
            <w:rStyle w:val="FootnoteReference"/>
            <w:rFonts w:ascii="Verdana" w:hAnsi="Verdana"/>
            <w:sz w:val="16"/>
            <w:szCs w:val="16"/>
            <w:vertAlign w:val="baseline"/>
            <w:lang w:val="en-GB"/>
          </w:rPr>
          <w:t>Eurozone</w:t>
        </w:r>
      </w:hyperlink>
      <w:r w:rsidRPr="004641A9">
        <w:rPr>
          <w:rStyle w:val="FootnoteReference"/>
          <w:rFonts w:ascii="Verdana" w:hAnsi="Verdana"/>
          <w:sz w:val="16"/>
          <w:szCs w:val="16"/>
          <w:vertAlign w:val="baseline"/>
          <w:lang w:val="en-GB"/>
        </w:rPr>
        <w:t xml:space="preserve"> member-states.</w:t>
      </w:r>
    </w:p>
  </w:footnote>
  <w:footnote w:id="4">
    <w:p w:rsidR="000A706C" w:rsidRPr="0086100F" w:rsidRDefault="000A706C" w:rsidP="00BA5544">
      <w:pPr>
        <w:pStyle w:val="FootnoteText"/>
        <w:tabs>
          <w:tab w:val="clear" w:pos="1021"/>
          <w:tab w:val="left" w:pos="284"/>
        </w:tabs>
        <w:spacing w:after="20"/>
        <w:ind w:left="284" w:hanging="284"/>
        <w:rPr>
          <w:rFonts w:ascii="Verdana" w:hAnsi="Verdana"/>
          <w:sz w:val="16"/>
          <w:szCs w:val="16"/>
          <w:lang w:val="en-GB"/>
        </w:rPr>
      </w:pPr>
      <w:r w:rsidRPr="0086100F">
        <w:rPr>
          <w:rStyle w:val="FootnoteReference"/>
          <w:rFonts w:ascii="Verdana" w:hAnsi="Verdana"/>
          <w:sz w:val="16"/>
          <w:szCs w:val="16"/>
          <w:lang w:val="en-GB"/>
        </w:rPr>
        <w:footnoteRef/>
      </w:r>
      <w:r w:rsidRPr="0086100F">
        <w:rPr>
          <w:rFonts w:ascii="Verdana" w:hAnsi="Verdana"/>
          <w:sz w:val="16"/>
          <w:szCs w:val="16"/>
          <w:lang w:val="en-GB"/>
        </w:rPr>
        <w:t xml:space="preserve"> </w:t>
      </w:r>
      <w:r>
        <w:rPr>
          <w:rFonts w:ascii="Verdana" w:hAnsi="Verdana"/>
          <w:sz w:val="16"/>
          <w:szCs w:val="16"/>
          <w:lang w:val="en-GB"/>
        </w:rPr>
        <w:tab/>
      </w:r>
      <w:r w:rsidRPr="0086100F">
        <w:rPr>
          <w:rFonts w:ascii="Verdana" w:hAnsi="Verdana"/>
          <w:sz w:val="16"/>
          <w:szCs w:val="16"/>
          <w:lang w:val="en-GB"/>
        </w:rPr>
        <w:t xml:space="preserve">The first country to use macro-prudential measures to curb a potential bubble is Switzerland. Early observation is that it is working. </w:t>
      </w:r>
    </w:p>
  </w:footnote>
  <w:footnote w:id="5">
    <w:p w:rsidR="000A706C" w:rsidRPr="0086100F" w:rsidRDefault="000A706C" w:rsidP="00BA5544">
      <w:pPr>
        <w:pStyle w:val="FootnoteText"/>
        <w:tabs>
          <w:tab w:val="clear" w:pos="1021"/>
          <w:tab w:val="left" w:pos="284"/>
        </w:tabs>
        <w:spacing w:after="20"/>
        <w:ind w:left="284" w:hanging="284"/>
        <w:rPr>
          <w:rFonts w:ascii="Verdana" w:hAnsi="Verdana"/>
          <w:sz w:val="16"/>
          <w:szCs w:val="16"/>
          <w:lang w:val="en-GB"/>
        </w:rPr>
      </w:pPr>
      <w:r w:rsidRPr="0086100F">
        <w:rPr>
          <w:rStyle w:val="FootnoteReference"/>
          <w:rFonts w:ascii="Verdana" w:hAnsi="Verdana"/>
          <w:sz w:val="16"/>
          <w:szCs w:val="16"/>
          <w:lang w:val="en-GB"/>
        </w:rPr>
        <w:footnoteRef/>
      </w:r>
      <w:r w:rsidRPr="0086100F">
        <w:rPr>
          <w:rFonts w:ascii="Verdana" w:hAnsi="Verdana"/>
          <w:sz w:val="16"/>
          <w:szCs w:val="16"/>
          <w:lang w:val="en-GB"/>
        </w:rPr>
        <w:t xml:space="preserve"> </w:t>
      </w:r>
      <w:r>
        <w:rPr>
          <w:rFonts w:ascii="Verdana" w:hAnsi="Verdana"/>
          <w:sz w:val="16"/>
          <w:szCs w:val="16"/>
          <w:lang w:val="en-GB"/>
        </w:rPr>
        <w:tab/>
      </w:r>
      <w:r w:rsidRPr="0086100F">
        <w:rPr>
          <w:rFonts w:ascii="Verdana" w:hAnsi="Verdana"/>
          <w:sz w:val="16"/>
          <w:szCs w:val="16"/>
          <w:lang w:val="en-GB"/>
        </w:rPr>
        <w:t xml:space="preserve">Details on the programme are missing at this stage. </w:t>
      </w:r>
    </w:p>
  </w:footnote>
  <w:footnote w:id="6">
    <w:p w:rsidR="000A706C" w:rsidRPr="0086100F" w:rsidRDefault="000A706C" w:rsidP="003B09D2">
      <w:pPr>
        <w:pStyle w:val="FootnoteText"/>
        <w:tabs>
          <w:tab w:val="clear" w:pos="1021"/>
          <w:tab w:val="left" w:pos="284"/>
        </w:tabs>
        <w:spacing w:after="20"/>
        <w:ind w:left="284" w:hanging="284"/>
        <w:rPr>
          <w:rFonts w:ascii="Verdana" w:hAnsi="Verdana"/>
          <w:sz w:val="16"/>
          <w:szCs w:val="16"/>
          <w:lang w:val="en-GB"/>
        </w:rPr>
      </w:pPr>
      <w:r w:rsidRPr="0086100F">
        <w:rPr>
          <w:rStyle w:val="FootnoteReference"/>
          <w:rFonts w:ascii="Verdana" w:hAnsi="Verdana"/>
          <w:sz w:val="16"/>
          <w:szCs w:val="16"/>
          <w:lang w:val="en-GB"/>
        </w:rPr>
        <w:footnoteRef/>
      </w:r>
      <w:r w:rsidRPr="0086100F">
        <w:rPr>
          <w:rFonts w:ascii="Verdana" w:hAnsi="Verdana"/>
          <w:sz w:val="16"/>
          <w:szCs w:val="16"/>
          <w:lang w:val="en-GB"/>
        </w:rPr>
        <w:t xml:space="preserve"> </w:t>
      </w:r>
      <w:r>
        <w:rPr>
          <w:rFonts w:ascii="Verdana" w:hAnsi="Verdana"/>
          <w:sz w:val="16"/>
          <w:szCs w:val="16"/>
          <w:lang w:val="en-GB"/>
        </w:rPr>
        <w:tab/>
        <w:t>During its pr</w:t>
      </w:r>
      <w:r w:rsidRPr="0086100F">
        <w:rPr>
          <w:rFonts w:ascii="Verdana" w:hAnsi="Verdana"/>
          <w:sz w:val="16"/>
          <w:szCs w:val="16"/>
          <w:lang w:val="en-GB"/>
        </w:rPr>
        <w:t xml:space="preserve">evious covered bond purchase programme in 2009-10, the ECB bought </w:t>
      </w:r>
      <w:r>
        <w:rPr>
          <w:rFonts w:ascii="Verdana" w:hAnsi="Verdana"/>
          <w:sz w:val="16"/>
          <w:szCs w:val="16"/>
          <w:lang w:val="en-GB"/>
        </w:rPr>
        <w:t>EUR 60 </w:t>
      </w:r>
      <w:r w:rsidRPr="0086100F">
        <w:rPr>
          <w:rFonts w:ascii="Verdana" w:hAnsi="Verdana"/>
          <w:sz w:val="16"/>
          <w:szCs w:val="16"/>
          <w:lang w:val="en-GB"/>
        </w:rPr>
        <w:t>b</w:t>
      </w:r>
      <w:r>
        <w:rPr>
          <w:rFonts w:ascii="Verdana" w:hAnsi="Verdana"/>
          <w:sz w:val="16"/>
          <w:szCs w:val="16"/>
          <w:lang w:val="en-GB"/>
        </w:rPr>
        <w:t>illio</w:t>
      </w:r>
      <w:r w:rsidRPr="0086100F">
        <w:rPr>
          <w:rFonts w:ascii="Verdana" w:hAnsi="Verdana"/>
          <w:sz w:val="16"/>
          <w:szCs w:val="16"/>
          <w:lang w:val="en-GB"/>
        </w:rPr>
        <w:t>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Default="00460E72">
    <w:pPr>
      <w:pStyle w:val="Header"/>
    </w:pPr>
    <w:r w:rsidRPr="00460E7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2676" o:spid="_x0000_s2053" type="#_x0000_t136" style="position:absolute;left:0;text-align:left;margin-left:0;margin-top:0;width:491.45pt;height:163.8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Default="00460E72">
    <w:pPr>
      <w:pStyle w:val="Header"/>
    </w:pPr>
    <w:r w:rsidRPr="00460E7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2677" o:spid="_x0000_s2054" type="#_x0000_t136" style="position:absolute;left:0;text-align:left;margin-left:0;margin-top:0;width:491.45pt;height:163.8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Default="00460E72">
    <w:pPr>
      <w:pStyle w:val="Header"/>
    </w:pPr>
    <w:r w:rsidRPr="00460E7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2675" o:spid="_x0000_s2052" type="#_x0000_t136" style="position:absolute;left:0;text-align:left;margin-left:0;margin-top:0;width:491.45pt;height:163.8pt;rotation:315;z-index:-25165414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Pr="0026134A" w:rsidRDefault="00460E72" w:rsidP="0026134A">
    <w:pPr>
      <w:pStyle w:val="Header"/>
      <w:rPr>
        <w:rFonts w:ascii="Verdana" w:hAnsi="Verdana"/>
        <w:color w:val="000066"/>
        <w:sz w:val="16"/>
        <w:szCs w:val="16"/>
        <w:lang w:val="en-GB"/>
      </w:rPr>
    </w:pPr>
    <w:r w:rsidRPr="00460E7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2679" o:spid="_x0000_s2055" type="#_x0000_t136" style="position:absolute;left:0;text-align:left;margin-left:0;margin-top:0;width:491.45pt;height:163.8pt;rotation:315;z-index:-2516500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0A706C" w:rsidRPr="0026134A">
      <w:rPr>
        <w:rFonts w:ascii="Verdana" w:hAnsi="Verdana"/>
        <w:color w:val="000066"/>
        <w:sz w:val="16"/>
        <w:szCs w:val="16"/>
        <w:lang w:val="en-GB"/>
      </w:rPr>
      <w:t>Policy Department A: Economic and Scientific Policy</w:t>
    </w:r>
  </w:p>
  <w:p w:rsidR="000A706C" w:rsidRPr="0026134A" w:rsidRDefault="000A706C" w:rsidP="0026134A">
    <w:pPr>
      <w:pStyle w:val="Header"/>
      <w:rPr>
        <w:rFonts w:ascii="Verdana" w:hAnsi="Verdana"/>
        <w:color w:val="000066"/>
        <w:sz w:val="16"/>
        <w:szCs w:val="16"/>
        <w:lang w:val="en-GB"/>
      </w:rPr>
    </w:pPr>
  </w:p>
  <w:p w:rsidR="000A706C" w:rsidRPr="0026134A" w:rsidRDefault="000A706C" w:rsidP="0026134A">
    <w:pPr>
      <w:pStyle w:val="Header"/>
      <w:pBdr>
        <w:top w:val="single" w:sz="4" w:space="1" w:color="BFBFBF"/>
      </w:pBdr>
      <w:rPr>
        <w:rFonts w:ascii="Verdana" w:hAnsi="Verdana"/>
        <w:color w:val="000066"/>
        <w:sz w:val="2"/>
        <w:szCs w:val="2"/>
        <w:lang w:val="en-GB"/>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Pr="0026134A" w:rsidRDefault="00460E72" w:rsidP="0026134A">
    <w:pPr>
      <w:pStyle w:val="Header"/>
      <w:jc w:val="right"/>
      <w:rPr>
        <w:rFonts w:ascii="Verdana" w:hAnsi="Verdana"/>
        <w:color w:val="000080"/>
        <w:sz w:val="16"/>
        <w:szCs w:val="16"/>
        <w:lang w:val="en-GB"/>
      </w:rPr>
    </w:pPr>
    <w:r w:rsidRPr="00460E72">
      <w:rPr>
        <w:rFonts w:ascii="Verdana" w:hAnsi="Verdana"/>
        <w:noProof/>
        <w:color w:val="000080"/>
        <w:sz w:val="16"/>
        <w:szCs w:val="1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2680" o:spid="_x0000_s2056" type="#_x0000_t136" style="position:absolute;left:0;text-align:left;margin-left:0;margin-top:0;width:491.45pt;height:163.8pt;rotation:315;z-index:-2516480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0A706C">
      <w:rPr>
        <w:rFonts w:ascii="Verdana" w:hAnsi="Verdana"/>
        <w:color w:val="000080"/>
        <w:sz w:val="16"/>
        <w:szCs w:val="16"/>
        <w:lang w:val="en-CA"/>
      </w:rPr>
      <w:t>Recent ECB ac</w:t>
    </w:r>
    <w:r w:rsidR="000A706C" w:rsidRPr="00734D5C">
      <w:rPr>
        <w:rFonts w:ascii="Verdana" w:hAnsi="Verdana"/>
        <w:color w:val="000080"/>
        <w:sz w:val="16"/>
        <w:szCs w:val="16"/>
        <w:lang w:val="en-CA"/>
      </w:rPr>
      <w:t>tion</w:t>
    </w:r>
    <w:r w:rsidR="000A706C">
      <w:rPr>
        <w:rFonts w:ascii="Verdana" w:hAnsi="Verdana"/>
        <w:color w:val="000080"/>
        <w:sz w:val="16"/>
        <w:szCs w:val="16"/>
        <w:lang w:val="en-CA"/>
      </w:rPr>
      <w:t>s</w:t>
    </w:r>
  </w:p>
  <w:p w:rsidR="000A706C" w:rsidRPr="0026134A" w:rsidRDefault="000A706C" w:rsidP="0026134A">
    <w:pPr>
      <w:pStyle w:val="Header"/>
      <w:rPr>
        <w:rFonts w:ascii="Verdana" w:hAnsi="Verdana"/>
        <w:color w:val="000066"/>
        <w:sz w:val="16"/>
        <w:szCs w:val="16"/>
        <w:lang w:val="en-GB"/>
      </w:rPr>
    </w:pPr>
  </w:p>
  <w:p w:rsidR="000A706C" w:rsidRPr="0026134A" w:rsidRDefault="000A706C" w:rsidP="0026134A">
    <w:pPr>
      <w:pStyle w:val="Header"/>
      <w:pBdr>
        <w:top w:val="single" w:sz="4" w:space="1" w:color="BFBFBF"/>
      </w:pBdr>
      <w:rPr>
        <w:rFonts w:ascii="Verdana" w:hAnsi="Verdana"/>
        <w:color w:val="000066"/>
        <w:sz w:val="2"/>
        <w:szCs w:val="2"/>
        <w:lang w:val="en-GB"/>
      </w:rPr>
    </w:pPr>
  </w:p>
  <w:p w:rsidR="000A706C" w:rsidRPr="004745B1" w:rsidRDefault="00460E72" w:rsidP="0026134A">
    <w:pPr>
      <w:pStyle w:val="Header"/>
      <w:jc w:val="right"/>
      <w:rPr>
        <w:rFonts w:ascii="Verdana" w:hAnsi="Verdana"/>
        <w:color w:val="000080"/>
        <w:sz w:val="2"/>
        <w:szCs w:val="16"/>
      </w:rPr>
    </w:pPr>
    <w:r w:rsidRPr="00460E72">
      <w:rPr>
        <w:noProof/>
        <w:sz w:val="2"/>
        <w:lang w:val="en-GB"/>
      </w:rPr>
      <w:pict>
        <v:shape id="_x0000_s2051" type="#_x0000_t136" style="position:absolute;left:0;text-align:left;margin-left:0;margin-top:0;width:491.45pt;height:163.8pt;rotation:315;z-index:-25165619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6C" w:rsidRPr="00734D5C" w:rsidRDefault="00460E72" w:rsidP="004E093E">
    <w:pPr>
      <w:pStyle w:val="Heade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s>
      <w:ind w:right="-60"/>
      <w:jc w:val="right"/>
      <w:rPr>
        <w:rFonts w:ascii="Verdana" w:hAnsi="Verdana"/>
        <w:color w:val="000080"/>
        <w:sz w:val="16"/>
        <w:szCs w:val="16"/>
        <w:lang w:val="en-CA"/>
      </w:rPr>
    </w:pPr>
    <w:r w:rsidRPr="00460E72">
      <w:rPr>
        <w:noProof/>
        <w:lang w:val="en-G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91.45pt;height:163.8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0A706C">
      <w:rPr>
        <w:rFonts w:ascii="Verdana" w:hAnsi="Verdana"/>
        <w:color w:val="000080"/>
        <w:sz w:val="16"/>
        <w:szCs w:val="16"/>
        <w:lang w:val="en-CA"/>
      </w:rPr>
      <w:t>Recent ECB ac</w:t>
    </w:r>
    <w:r w:rsidR="000A706C" w:rsidRPr="00734D5C">
      <w:rPr>
        <w:rFonts w:ascii="Verdana" w:hAnsi="Verdana"/>
        <w:color w:val="000080"/>
        <w:sz w:val="16"/>
        <w:szCs w:val="16"/>
        <w:lang w:val="en-CA"/>
      </w:rPr>
      <w:t>tion</w:t>
    </w:r>
    <w:r w:rsidR="000A706C">
      <w:rPr>
        <w:rFonts w:ascii="Verdana" w:hAnsi="Verdana"/>
        <w:color w:val="000080"/>
        <w:sz w:val="16"/>
        <w:szCs w:val="16"/>
        <w:lang w:val="en-CA"/>
      </w:rPr>
      <w:t>s</w:t>
    </w:r>
  </w:p>
  <w:p w:rsidR="000A706C" w:rsidRPr="004E093E" w:rsidRDefault="000A706C" w:rsidP="00CD17B4">
    <w:pPr>
      <w:pStyle w:val="Header"/>
      <w:ind w:left="-142" w:right="-60"/>
      <w:jc w:val="right"/>
      <w:rPr>
        <w:color w:val="999999"/>
        <w:sz w:val="20"/>
        <w:lang w:val="en-GB"/>
      </w:rPr>
    </w:pPr>
    <w:r w:rsidRPr="004E093E">
      <w:rPr>
        <w:color w:val="999999"/>
        <w:sz w:val="20"/>
        <w:lang w:val="en-CA"/>
      </w:rPr>
      <w:t>_____________</w:t>
    </w:r>
    <w:r>
      <w:rPr>
        <w:color w:val="999999"/>
        <w:sz w:val="20"/>
        <w:lang w:val="en-CA"/>
      </w:rPr>
      <w:t>_</w:t>
    </w:r>
    <w:r w:rsidRPr="004E093E">
      <w:rPr>
        <w:color w:val="999999"/>
        <w:sz w:val="20"/>
        <w:lang w:val="en-CA"/>
      </w:rPr>
      <w:t>________________________________________________________________________________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E60"/>
    <w:multiLevelType w:val="multilevel"/>
    <w:tmpl w:val="8884B35E"/>
    <w:lvl w:ilvl="0">
      <w:start w:val="1"/>
      <w:numFmt w:val="decimal"/>
      <w:pStyle w:val="Heading1"/>
      <w:lvlText w:val="%1."/>
      <w:lvlJc w:val="left"/>
      <w:pPr>
        <w:tabs>
          <w:tab w:val="num" w:pos="360"/>
        </w:tabs>
        <w:ind w:left="360" w:hanging="360"/>
      </w:pPr>
      <w:rPr>
        <w:rFonts w:ascii="Verdana" w:hAnsi="Verdana" w:cs="Wingdings" w:hint="default"/>
        <w:b/>
        <w:bCs/>
        <w:i w:val="0"/>
        <w:iCs w:val="0"/>
        <w:caps w:val="0"/>
        <w:smallCaps w:val="0"/>
        <w:strike w:val="0"/>
        <w:dstrike w:val="0"/>
        <w:color w:val="333399"/>
        <w:spacing w:val="0"/>
        <w:w w:val="100"/>
        <w:kern w:val="28"/>
        <w:position w:val="0"/>
        <w:sz w:val="28"/>
        <w:u w:val="none"/>
        <w:effect w:val="none"/>
      </w:rPr>
    </w:lvl>
    <w:lvl w:ilvl="1">
      <w:start w:val="1"/>
      <w:numFmt w:val="decimal"/>
      <w:pStyle w:val="Heading2"/>
      <w:lvlText w:val="%1.%2."/>
      <w:lvlJc w:val="left"/>
      <w:pPr>
        <w:tabs>
          <w:tab w:val="num" w:pos="792"/>
        </w:tabs>
        <w:ind w:left="792" w:hanging="792"/>
      </w:pPr>
      <w:rPr>
        <w:rFonts w:ascii="Verdana" w:hAnsi="Verdana" w:cs="Wingdings" w:hint="default"/>
        <w:b/>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
    <w:nsid w:val="0F086388"/>
    <w:multiLevelType w:val="hybridMultilevel"/>
    <w:tmpl w:val="24C27484"/>
    <w:lvl w:ilvl="0" w:tplc="2AE03A7C">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73AA5"/>
    <w:multiLevelType w:val="hybridMultilevel"/>
    <w:tmpl w:val="2D52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82108"/>
    <w:multiLevelType w:val="hybridMultilevel"/>
    <w:tmpl w:val="B1FCBC6A"/>
    <w:lvl w:ilvl="0" w:tplc="27CE7B1C">
      <w:start w:val="1"/>
      <w:numFmt w:val="bullet"/>
      <w:lvlText w:val=""/>
      <w:lvlJc w:val="left"/>
      <w:pPr>
        <w:tabs>
          <w:tab w:val="num" w:pos="720"/>
        </w:tabs>
        <w:ind w:left="720" w:hanging="360"/>
      </w:pPr>
      <w:rPr>
        <w:rFonts w:ascii="Symbol" w:hAnsi="Symbol" w:hint="default"/>
        <w:b w:val="0"/>
        <w:i w:val="0"/>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D01965"/>
    <w:multiLevelType w:val="multilevel"/>
    <w:tmpl w:val="4C8CEA5A"/>
    <w:lvl w:ilvl="0">
      <w:start w:val="1"/>
      <w:numFmt w:val="bullet"/>
      <w:lvlText w:val=""/>
      <w:lvlJc w:val="left"/>
      <w:pPr>
        <w:tabs>
          <w:tab w:val="num" w:pos="720"/>
        </w:tabs>
        <w:ind w:left="720" w:hanging="360"/>
      </w:pPr>
      <w:rPr>
        <w:rFonts w:ascii="Symbol" w:hAnsi="Symbol" w:hint="default"/>
        <w:b w:val="0"/>
        <w:i w:val="0"/>
        <w:color w:val="000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916891"/>
    <w:multiLevelType w:val="hybridMultilevel"/>
    <w:tmpl w:val="2F9AA148"/>
    <w:lvl w:ilvl="0" w:tplc="EA5AFCF2">
      <w:start w:val="1"/>
      <w:numFmt w:val="bullet"/>
      <w:pStyle w:val="Tiret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384514"/>
    <w:multiLevelType w:val="hybridMultilevel"/>
    <w:tmpl w:val="8E0033BC"/>
    <w:lvl w:ilvl="0" w:tplc="27CE7B1C">
      <w:start w:val="1"/>
      <w:numFmt w:val="bullet"/>
      <w:lvlText w:val=""/>
      <w:lvlJc w:val="left"/>
      <w:pPr>
        <w:tabs>
          <w:tab w:val="num" w:pos="720"/>
        </w:tabs>
        <w:ind w:left="720" w:hanging="360"/>
      </w:pPr>
      <w:rPr>
        <w:rFonts w:ascii="Symbol" w:hAnsi="Symbol" w:hint="default"/>
        <w:b w:val="0"/>
        <w:i w:val="0"/>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802845"/>
    <w:multiLevelType w:val="hybridMultilevel"/>
    <w:tmpl w:val="2AE4E34A"/>
    <w:lvl w:ilvl="0" w:tplc="23165D76">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E02048"/>
    <w:multiLevelType w:val="hybridMultilevel"/>
    <w:tmpl w:val="0624E6D0"/>
    <w:lvl w:ilvl="0" w:tplc="7B42F16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9C56C1D"/>
    <w:multiLevelType w:val="hybridMultilevel"/>
    <w:tmpl w:val="D004B16E"/>
    <w:lvl w:ilvl="0" w:tplc="4DB0E71C">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FC1925"/>
    <w:multiLevelType w:val="multilevel"/>
    <w:tmpl w:val="A8A4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317E3C"/>
    <w:multiLevelType w:val="hybridMultilevel"/>
    <w:tmpl w:val="BCA82E7C"/>
    <w:lvl w:ilvl="0" w:tplc="99C4590E">
      <w:start w:val="1"/>
      <w:numFmt w:val="bullet"/>
      <w:lvlText w:val=""/>
      <w:lvlJc w:val="left"/>
      <w:pPr>
        <w:tabs>
          <w:tab w:val="num" w:pos="720"/>
        </w:tabs>
        <w:ind w:left="720" w:hanging="360"/>
      </w:pPr>
      <w:rPr>
        <w:rFonts w:ascii="Symbol" w:hAnsi="Symbol" w:hint="default"/>
        <w:b w:val="0"/>
        <w:i w:val="0"/>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851046"/>
    <w:multiLevelType w:val="hybridMultilevel"/>
    <w:tmpl w:val="F28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0"/>
  </w:num>
  <w:num w:numId="21">
    <w:abstractNumId w:val="7"/>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3"/>
  </w:num>
  <w:num w:numId="33">
    <w:abstractNumId w:val="12"/>
  </w:num>
  <w:num w:numId="34">
    <w:abstractNumId w:val="4"/>
  </w:num>
  <w:num w:numId="35">
    <w:abstractNumId w:val="0"/>
  </w:num>
  <w:num w:numId="36">
    <w:abstractNumId w:val="0"/>
  </w:num>
  <w:num w:numId="37">
    <w:abstractNumId w:val="11"/>
  </w:num>
  <w:num w:numId="38">
    <w:abstractNumId w:val="13"/>
  </w:num>
  <w:num w:numId="39">
    <w:abstractNumId w:val="8"/>
  </w:num>
  <w:num w:numId="40">
    <w:abstractNumId w:val="2"/>
  </w:num>
  <w:num w:numId="41">
    <w:abstractNumId w:val="0"/>
  </w:num>
  <w:num w:numId="42">
    <w:abstractNumId w:val="0"/>
  </w:num>
  <w:num w:numId="43">
    <w:abstractNumId w:val="0"/>
  </w:num>
  <w:num w:numId="44">
    <w:abstractNumId w:val="0"/>
  </w:num>
  <w:num w:numId="45">
    <w:abstractNumId w:val="0"/>
  </w:num>
  <w:num w:numId="4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attachedTemplate r:id="rId1"/>
  <w:stylePaneFormatFilter w:val="30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Pr>
  <w:compat/>
  <w:rsids>
    <w:rsidRoot w:val="00F1040C"/>
    <w:rsid w:val="00001A49"/>
    <w:rsid w:val="000036E7"/>
    <w:rsid w:val="0000607D"/>
    <w:rsid w:val="0000632D"/>
    <w:rsid w:val="0000715D"/>
    <w:rsid w:val="00012CE4"/>
    <w:rsid w:val="00014392"/>
    <w:rsid w:val="00015557"/>
    <w:rsid w:val="00015AE2"/>
    <w:rsid w:val="000160EF"/>
    <w:rsid w:val="000219C4"/>
    <w:rsid w:val="00027077"/>
    <w:rsid w:val="00027556"/>
    <w:rsid w:val="00041266"/>
    <w:rsid w:val="00044138"/>
    <w:rsid w:val="000505CE"/>
    <w:rsid w:val="00051FA6"/>
    <w:rsid w:val="00055495"/>
    <w:rsid w:val="000574E4"/>
    <w:rsid w:val="000619DE"/>
    <w:rsid w:val="0007091C"/>
    <w:rsid w:val="00071278"/>
    <w:rsid w:val="000733B5"/>
    <w:rsid w:val="00077895"/>
    <w:rsid w:val="00077B5C"/>
    <w:rsid w:val="00091550"/>
    <w:rsid w:val="00091989"/>
    <w:rsid w:val="000934EE"/>
    <w:rsid w:val="000A0DD2"/>
    <w:rsid w:val="000A0F34"/>
    <w:rsid w:val="000A5658"/>
    <w:rsid w:val="000A706C"/>
    <w:rsid w:val="000B0836"/>
    <w:rsid w:val="000B36E0"/>
    <w:rsid w:val="000B4847"/>
    <w:rsid w:val="000C25B2"/>
    <w:rsid w:val="000C4CF0"/>
    <w:rsid w:val="000C57F6"/>
    <w:rsid w:val="000D1543"/>
    <w:rsid w:val="000D2C27"/>
    <w:rsid w:val="000D381E"/>
    <w:rsid w:val="000D65FF"/>
    <w:rsid w:val="000E271A"/>
    <w:rsid w:val="000E292F"/>
    <w:rsid w:val="000E2AB5"/>
    <w:rsid w:val="000E2C3C"/>
    <w:rsid w:val="000F13EC"/>
    <w:rsid w:val="000F1978"/>
    <w:rsid w:val="000F734C"/>
    <w:rsid w:val="000F7DD8"/>
    <w:rsid w:val="00110AC2"/>
    <w:rsid w:val="00121D61"/>
    <w:rsid w:val="0012297A"/>
    <w:rsid w:val="001238D3"/>
    <w:rsid w:val="00134B28"/>
    <w:rsid w:val="00135B84"/>
    <w:rsid w:val="00141104"/>
    <w:rsid w:val="0014255A"/>
    <w:rsid w:val="00142FE2"/>
    <w:rsid w:val="001544EF"/>
    <w:rsid w:val="00160323"/>
    <w:rsid w:val="0016317C"/>
    <w:rsid w:val="00171EBC"/>
    <w:rsid w:val="0017561C"/>
    <w:rsid w:val="001761AE"/>
    <w:rsid w:val="00181276"/>
    <w:rsid w:val="0019174B"/>
    <w:rsid w:val="0019676C"/>
    <w:rsid w:val="001A34D1"/>
    <w:rsid w:val="001A6087"/>
    <w:rsid w:val="001A79EA"/>
    <w:rsid w:val="001B03C2"/>
    <w:rsid w:val="001B46F3"/>
    <w:rsid w:val="001B767E"/>
    <w:rsid w:val="001B78F2"/>
    <w:rsid w:val="001C5C85"/>
    <w:rsid w:val="001D2B7E"/>
    <w:rsid w:val="001D4CF1"/>
    <w:rsid w:val="001D5985"/>
    <w:rsid w:val="001D6332"/>
    <w:rsid w:val="001D73B4"/>
    <w:rsid w:val="001E2298"/>
    <w:rsid w:val="001F085B"/>
    <w:rsid w:val="00201D26"/>
    <w:rsid w:val="002122C8"/>
    <w:rsid w:val="00213E0F"/>
    <w:rsid w:val="00220071"/>
    <w:rsid w:val="00220B68"/>
    <w:rsid w:val="0022214A"/>
    <w:rsid w:val="00223DE4"/>
    <w:rsid w:val="00225C8F"/>
    <w:rsid w:val="00225CE7"/>
    <w:rsid w:val="0023014E"/>
    <w:rsid w:val="002514B9"/>
    <w:rsid w:val="00256675"/>
    <w:rsid w:val="0026134A"/>
    <w:rsid w:val="00262D7B"/>
    <w:rsid w:val="0026631D"/>
    <w:rsid w:val="00273FE4"/>
    <w:rsid w:val="00276069"/>
    <w:rsid w:val="00276184"/>
    <w:rsid w:val="00282B14"/>
    <w:rsid w:val="00284F0B"/>
    <w:rsid w:val="002C24C4"/>
    <w:rsid w:val="002C3287"/>
    <w:rsid w:val="002D700C"/>
    <w:rsid w:val="002E0524"/>
    <w:rsid w:val="002E4263"/>
    <w:rsid w:val="002E7CE5"/>
    <w:rsid w:val="00301A12"/>
    <w:rsid w:val="00304DCB"/>
    <w:rsid w:val="00305BB0"/>
    <w:rsid w:val="00311724"/>
    <w:rsid w:val="00311AC3"/>
    <w:rsid w:val="0031228F"/>
    <w:rsid w:val="003164D3"/>
    <w:rsid w:val="003179E4"/>
    <w:rsid w:val="00322D0A"/>
    <w:rsid w:val="0032356D"/>
    <w:rsid w:val="00336B19"/>
    <w:rsid w:val="00344839"/>
    <w:rsid w:val="00344B12"/>
    <w:rsid w:val="003470F8"/>
    <w:rsid w:val="00353C8A"/>
    <w:rsid w:val="003630ED"/>
    <w:rsid w:val="0036358C"/>
    <w:rsid w:val="0037462A"/>
    <w:rsid w:val="003747B8"/>
    <w:rsid w:val="0037590F"/>
    <w:rsid w:val="00381941"/>
    <w:rsid w:val="00382BC1"/>
    <w:rsid w:val="0038394D"/>
    <w:rsid w:val="003874E8"/>
    <w:rsid w:val="00390208"/>
    <w:rsid w:val="003945F5"/>
    <w:rsid w:val="00394A6C"/>
    <w:rsid w:val="003A63A5"/>
    <w:rsid w:val="003B09D2"/>
    <w:rsid w:val="003B5C76"/>
    <w:rsid w:val="003B604A"/>
    <w:rsid w:val="003C163C"/>
    <w:rsid w:val="003C1BF3"/>
    <w:rsid w:val="003C2898"/>
    <w:rsid w:val="003C566D"/>
    <w:rsid w:val="003C5804"/>
    <w:rsid w:val="003D5C02"/>
    <w:rsid w:val="003D6708"/>
    <w:rsid w:val="003E1578"/>
    <w:rsid w:val="003E33AB"/>
    <w:rsid w:val="003E45C3"/>
    <w:rsid w:val="003E4E44"/>
    <w:rsid w:val="003E5230"/>
    <w:rsid w:val="003E52C0"/>
    <w:rsid w:val="003F6362"/>
    <w:rsid w:val="004057D8"/>
    <w:rsid w:val="00406C3F"/>
    <w:rsid w:val="00412654"/>
    <w:rsid w:val="004216FB"/>
    <w:rsid w:val="004240D5"/>
    <w:rsid w:val="0042507B"/>
    <w:rsid w:val="004268D9"/>
    <w:rsid w:val="0043356A"/>
    <w:rsid w:val="00440D2A"/>
    <w:rsid w:val="00450CB4"/>
    <w:rsid w:val="004558C4"/>
    <w:rsid w:val="00460E72"/>
    <w:rsid w:val="004641A9"/>
    <w:rsid w:val="004745B1"/>
    <w:rsid w:val="004761E5"/>
    <w:rsid w:val="0048477F"/>
    <w:rsid w:val="00486D03"/>
    <w:rsid w:val="00487DEA"/>
    <w:rsid w:val="004A1DDB"/>
    <w:rsid w:val="004A372D"/>
    <w:rsid w:val="004B0E58"/>
    <w:rsid w:val="004B2A4A"/>
    <w:rsid w:val="004B48A8"/>
    <w:rsid w:val="004C1731"/>
    <w:rsid w:val="004C40C2"/>
    <w:rsid w:val="004D0205"/>
    <w:rsid w:val="004D09A3"/>
    <w:rsid w:val="004D0A8E"/>
    <w:rsid w:val="004D2439"/>
    <w:rsid w:val="004D37AA"/>
    <w:rsid w:val="004E093E"/>
    <w:rsid w:val="004E2D82"/>
    <w:rsid w:val="004E320B"/>
    <w:rsid w:val="004E56FA"/>
    <w:rsid w:val="004E7AB3"/>
    <w:rsid w:val="004F19CA"/>
    <w:rsid w:val="004F3BB0"/>
    <w:rsid w:val="004F4190"/>
    <w:rsid w:val="004F5601"/>
    <w:rsid w:val="004F70FA"/>
    <w:rsid w:val="005055D4"/>
    <w:rsid w:val="00505D76"/>
    <w:rsid w:val="005107C8"/>
    <w:rsid w:val="00511D8E"/>
    <w:rsid w:val="005145C1"/>
    <w:rsid w:val="00514E65"/>
    <w:rsid w:val="00522E6A"/>
    <w:rsid w:val="005246BE"/>
    <w:rsid w:val="00525A23"/>
    <w:rsid w:val="00527226"/>
    <w:rsid w:val="00531399"/>
    <w:rsid w:val="005356FD"/>
    <w:rsid w:val="00540B00"/>
    <w:rsid w:val="00550727"/>
    <w:rsid w:val="00551987"/>
    <w:rsid w:val="00552B04"/>
    <w:rsid w:val="005600D3"/>
    <w:rsid w:val="00561549"/>
    <w:rsid w:val="00566CD3"/>
    <w:rsid w:val="00566DDD"/>
    <w:rsid w:val="005821C7"/>
    <w:rsid w:val="00586581"/>
    <w:rsid w:val="00587B8A"/>
    <w:rsid w:val="00587E4E"/>
    <w:rsid w:val="00591373"/>
    <w:rsid w:val="00594DEE"/>
    <w:rsid w:val="00596479"/>
    <w:rsid w:val="005A494E"/>
    <w:rsid w:val="005B0152"/>
    <w:rsid w:val="005B4FB4"/>
    <w:rsid w:val="005B7399"/>
    <w:rsid w:val="005B74BC"/>
    <w:rsid w:val="005C6BED"/>
    <w:rsid w:val="005D4B93"/>
    <w:rsid w:val="005F7FCA"/>
    <w:rsid w:val="0060743D"/>
    <w:rsid w:val="00611EED"/>
    <w:rsid w:val="006130DD"/>
    <w:rsid w:val="00622614"/>
    <w:rsid w:val="00631916"/>
    <w:rsid w:val="006328C1"/>
    <w:rsid w:val="00633618"/>
    <w:rsid w:val="006336EE"/>
    <w:rsid w:val="0064099F"/>
    <w:rsid w:val="00662950"/>
    <w:rsid w:val="0066431F"/>
    <w:rsid w:val="00672A5C"/>
    <w:rsid w:val="00672E08"/>
    <w:rsid w:val="0067492C"/>
    <w:rsid w:val="00681FF3"/>
    <w:rsid w:val="00685C0C"/>
    <w:rsid w:val="006923FF"/>
    <w:rsid w:val="00694103"/>
    <w:rsid w:val="006974DF"/>
    <w:rsid w:val="006A005B"/>
    <w:rsid w:val="006A4D10"/>
    <w:rsid w:val="006B2068"/>
    <w:rsid w:val="006B43ED"/>
    <w:rsid w:val="006C40FC"/>
    <w:rsid w:val="006C5F58"/>
    <w:rsid w:val="006D376D"/>
    <w:rsid w:val="006D55A3"/>
    <w:rsid w:val="006E6EFC"/>
    <w:rsid w:val="006F29FF"/>
    <w:rsid w:val="006F454F"/>
    <w:rsid w:val="00700A0B"/>
    <w:rsid w:val="007029A1"/>
    <w:rsid w:val="00704C90"/>
    <w:rsid w:val="00707D3E"/>
    <w:rsid w:val="00724F8E"/>
    <w:rsid w:val="007302A3"/>
    <w:rsid w:val="00730BF8"/>
    <w:rsid w:val="00733EC2"/>
    <w:rsid w:val="00734D5C"/>
    <w:rsid w:val="00736FA7"/>
    <w:rsid w:val="0073744E"/>
    <w:rsid w:val="0073761F"/>
    <w:rsid w:val="00740BE6"/>
    <w:rsid w:val="00746F3A"/>
    <w:rsid w:val="007539BC"/>
    <w:rsid w:val="00755FF8"/>
    <w:rsid w:val="00757131"/>
    <w:rsid w:val="00764DC5"/>
    <w:rsid w:val="0076563B"/>
    <w:rsid w:val="007711E4"/>
    <w:rsid w:val="00775776"/>
    <w:rsid w:val="007760F6"/>
    <w:rsid w:val="007776E3"/>
    <w:rsid w:val="0078503E"/>
    <w:rsid w:val="007916C4"/>
    <w:rsid w:val="00795B41"/>
    <w:rsid w:val="007962F3"/>
    <w:rsid w:val="007A2543"/>
    <w:rsid w:val="007A5BE7"/>
    <w:rsid w:val="007A740E"/>
    <w:rsid w:val="007A7FC5"/>
    <w:rsid w:val="007B10E1"/>
    <w:rsid w:val="007B15EF"/>
    <w:rsid w:val="007B5857"/>
    <w:rsid w:val="007B6ACB"/>
    <w:rsid w:val="007C28E9"/>
    <w:rsid w:val="007C7DF1"/>
    <w:rsid w:val="007D1F8E"/>
    <w:rsid w:val="007D3CE8"/>
    <w:rsid w:val="007D5D71"/>
    <w:rsid w:val="007D6C33"/>
    <w:rsid w:val="007D78CB"/>
    <w:rsid w:val="007D7956"/>
    <w:rsid w:val="007E2C11"/>
    <w:rsid w:val="007E4CA1"/>
    <w:rsid w:val="007E52A9"/>
    <w:rsid w:val="007F03EC"/>
    <w:rsid w:val="007F082D"/>
    <w:rsid w:val="007F1773"/>
    <w:rsid w:val="007F1BD8"/>
    <w:rsid w:val="007F1CC9"/>
    <w:rsid w:val="007F458D"/>
    <w:rsid w:val="007F666B"/>
    <w:rsid w:val="007F71EA"/>
    <w:rsid w:val="008000C4"/>
    <w:rsid w:val="008023F2"/>
    <w:rsid w:val="00803121"/>
    <w:rsid w:val="008061DA"/>
    <w:rsid w:val="008065C1"/>
    <w:rsid w:val="00813E04"/>
    <w:rsid w:val="008157F9"/>
    <w:rsid w:val="0082100E"/>
    <w:rsid w:val="008218D6"/>
    <w:rsid w:val="008268BA"/>
    <w:rsid w:val="00826CD7"/>
    <w:rsid w:val="008325FA"/>
    <w:rsid w:val="00832632"/>
    <w:rsid w:val="00835898"/>
    <w:rsid w:val="00835F37"/>
    <w:rsid w:val="008444E2"/>
    <w:rsid w:val="00844F5C"/>
    <w:rsid w:val="008451EC"/>
    <w:rsid w:val="00846481"/>
    <w:rsid w:val="00851ED2"/>
    <w:rsid w:val="0086100F"/>
    <w:rsid w:val="0087091E"/>
    <w:rsid w:val="00873DB0"/>
    <w:rsid w:val="00874AEA"/>
    <w:rsid w:val="00875E30"/>
    <w:rsid w:val="00876384"/>
    <w:rsid w:val="00876385"/>
    <w:rsid w:val="00877E67"/>
    <w:rsid w:val="008858F5"/>
    <w:rsid w:val="008864C0"/>
    <w:rsid w:val="0088706B"/>
    <w:rsid w:val="00887E54"/>
    <w:rsid w:val="008A105A"/>
    <w:rsid w:val="008C746C"/>
    <w:rsid w:val="008F0404"/>
    <w:rsid w:val="008F3516"/>
    <w:rsid w:val="00902A7C"/>
    <w:rsid w:val="00905002"/>
    <w:rsid w:val="00905495"/>
    <w:rsid w:val="00905878"/>
    <w:rsid w:val="0091201B"/>
    <w:rsid w:val="00914C21"/>
    <w:rsid w:val="009170EF"/>
    <w:rsid w:val="00922108"/>
    <w:rsid w:val="009235C1"/>
    <w:rsid w:val="00923FE3"/>
    <w:rsid w:val="00927C2E"/>
    <w:rsid w:val="00930006"/>
    <w:rsid w:val="009371EC"/>
    <w:rsid w:val="0094021C"/>
    <w:rsid w:val="00945C08"/>
    <w:rsid w:val="00951715"/>
    <w:rsid w:val="00952A20"/>
    <w:rsid w:val="009561CC"/>
    <w:rsid w:val="00974843"/>
    <w:rsid w:val="00976BCC"/>
    <w:rsid w:val="009864E4"/>
    <w:rsid w:val="009944D1"/>
    <w:rsid w:val="009A08F8"/>
    <w:rsid w:val="009A7683"/>
    <w:rsid w:val="009A781B"/>
    <w:rsid w:val="009A7D77"/>
    <w:rsid w:val="009B1FE5"/>
    <w:rsid w:val="009B248C"/>
    <w:rsid w:val="009B361C"/>
    <w:rsid w:val="009B40B8"/>
    <w:rsid w:val="009C2D07"/>
    <w:rsid w:val="009C37A8"/>
    <w:rsid w:val="009D5502"/>
    <w:rsid w:val="009D5C71"/>
    <w:rsid w:val="009D763B"/>
    <w:rsid w:val="009E1EAC"/>
    <w:rsid w:val="009E2090"/>
    <w:rsid w:val="009F02C4"/>
    <w:rsid w:val="009F7680"/>
    <w:rsid w:val="00A0060C"/>
    <w:rsid w:val="00A016FC"/>
    <w:rsid w:val="00A0208E"/>
    <w:rsid w:val="00A11553"/>
    <w:rsid w:val="00A13960"/>
    <w:rsid w:val="00A15308"/>
    <w:rsid w:val="00A17C1D"/>
    <w:rsid w:val="00A2061E"/>
    <w:rsid w:val="00A25850"/>
    <w:rsid w:val="00A27A1C"/>
    <w:rsid w:val="00A33A72"/>
    <w:rsid w:val="00A374E5"/>
    <w:rsid w:val="00A4420C"/>
    <w:rsid w:val="00A443A1"/>
    <w:rsid w:val="00A6461A"/>
    <w:rsid w:val="00A70E05"/>
    <w:rsid w:val="00A80B7F"/>
    <w:rsid w:val="00A81577"/>
    <w:rsid w:val="00A91744"/>
    <w:rsid w:val="00AA09AA"/>
    <w:rsid w:val="00AA1774"/>
    <w:rsid w:val="00AA2FF9"/>
    <w:rsid w:val="00AA4A68"/>
    <w:rsid w:val="00AA73D8"/>
    <w:rsid w:val="00AB50C3"/>
    <w:rsid w:val="00AB5466"/>
    <w:rsid w:val="00AB5AE6"/>
    <w:rsid w:val="00AB5BE7"/>
    <w:rsid w:val="00AB63E8"/>
    <w:rsid w:val="00AD1638"/>
    <w:rsid w:val="00AE2C29"/>
    <w:rsid w:val="00AE6BFC"/>
    <w:rsid w:val="00AE7943"/>
    <w:rsid w:val="00AF0977"/>
    <w:rsid w:val="00AF74C0"/>
    <w:rsid w:val="00B0010E"/>
    <w:rsid w:val="00B03905"/>
    <w:rsid w:val="00B0745B"/>
    <w:rsid w:val="00B10E02"/>
    <w:rsid w:val="00B1185A"/>
    <w:rsid w:val="00B12D8E"/>
    <w:rsid w:val="00B15524"/>
    <w:rsid w:val="00B215FB"/>
    <w:rsid w:val="00B21D56"/>
    <w:rsid w:val="00B3142F"/>
    <w:rsid w:val="00B33FCF"/>
    <w:rsid w:val="00B3400A"/>
    <w:rsid w:val="00B370E1"/>
    <w:rsid w:val="00B3787F"/>
    <w:rsid w:val="00B40CF5"/>
    <w:rsid w:val="00B42EDD"/>
    <w:rsid w:val="00B45465"/>
    <w:rsid w:val="00B603E8"/>
    <w:rsid w:val="00B61026"/>
    <w:rsid w:val="00B67E32"/>
    <w:rsid w:val="00B7251B"/>
    <w:rsid w:val="00B729AE"/>
    <w:rsid w:val="00B81435"/>
    <w:rsid w:val="00B817BC"/>
    <w:rsid w:val="00B86C3E"/>
    <w:rsid w:val="00B91DF4"/>
    <w:rsid w:val="00B929F8"/>
    <w:rsid w:val="00B96357"/>
    <w:rsid w:val="00BA14D9"/>
    <w:rsid w:val="00BA363A"/>
    <w:rsid w:val="00BA52E1"/>
    <w:rsid w:val="00BA5544"/>
    <w:rsid w:val="00BB1216"/>
    <w:rsid w:val="00BB340D"/>
    <w:rsid w:val="00BB5DD9"/>
    <w:rsid w:val="00BC06F7"/>
    <w:rsid w:val="00BC2696"/>
    <w:rsid w:val="00BD1936"/>
    <w:rsid w:val="00BD1BF9"/>
    <w:rsid w:val="00BD3576"/>
    <w:rsid w:val="00BD7415"/>
    <w:rsid w:val="00BE1170"/>
    <w:rsid w:val="00BE69C1"/>
    <w:rsid w:val="00BE7BA9"/>
    <w:rsid w:val="00BF201B"/>
    <w:rsid w:val="00BF3843"/>
    <w:rsid w:val="00BF3D42"/>
    <w:rsid w:val="00BF5C1D"/>
    <w:rsid w:val="00C000D7"/>
    <w:rsid w:val="00C0037A"/>
    <w:rsid w:val="00C03F6E"/>
    <w:rsid w:val="00C04925"/>
    <w:rsid w:val="00C04C63"/>
    <w:rsid w:val="00C07FF0"/>
    <w:rsid w:val="00C11941"/>
    <w:rsid w:val="00C13357"/>
    <w:rsid w:val="00C15D43"/>
    <w:rsid w:val="00C17317"/>
    <w:rsid w:val="00C265A1"/>
    <w:rsid w:val="00C26AA0"/>
    <w:rsid w:val="00C27118"/>
    <w:rsid w:val="00C30617"/>
    <w:rsid w:val="00C361ED"/>
    <w:rsid w:val="00C37A80"/>
    <w:rsid w:val="00C40384"/>
    <w:rsid w:val="00C43394"/>
    <w:rsid w:val="00C46966"/>
    <w:rsid w:val="00C475B6"/>
    <w:rsid w:val="00C47CBC"/>
    <w:rsid w:val="00C5013C"/>
    <w:rsid w:val="00C54F7A"/>
    <w:rsid w:val="00C566B7"/>
    <w:rsid w:val="00C6111B"/>
    <w:rsid w:val="00C6210E"/>
    <w:rsid w:val="00C65921"/>
    <w:rsid w:val="00C70C96"/>
    <w:rsid w:val="00C71B4B"/>
    <w:rsid w:val="00C80E07"/>
    <w:rsid w:val="00C94AF7"/>
    <w:rsid w:val="00C96BA3"/>
    <w:rsid w:val="00CA0CCE"/>
    <w:rsid w:val="00CA16FE"/>
    <w:rsid w:val="00CA2BA9"/>
    <w:rsid w:val="00CA5DBB"/>
    <w:rsid w:val="00CA688F"/>
    <w:rsid w:val="00CA77D3"/>
    <w:rsid w:val="00CB0156"/>
    <w:rsid w:val="00CB30C5"/>
    <w:rsid w:val="00CB3C3F"/>
    <w:rsid w:val="00CB4673"/>
    <w:rsid w:val="00CB5677"/>
    <w:rsid w:val="00CB6A18"/>
    <w:rsid w:val="00CB6C4D"/>
    <w:rsid w:val="00CC08B9"/>
    <w:rsid w:val="00CC47D0"/>
    <w:rsid w:val="00CD17B4"/>
    <w:rsid w:val="00CD28F6"/>
    <w:rsid w:val="00CD7178"/>
    <w:rsid w:val="00CE00DC"/>
    <w:rsid w:val="00CE489B"/>
    <w:rsid w:val="00CE5738"/>
    <w:rsid w:val="00CE6CA2"/>
    <w:rsid w:val="00CF1ABA"/>
    <w:rsid w:val="00CF3E70"/>
    <w:rsid w:val="00CF5D53"/>
    <w:rsid w:val="00CF7B6A"/>
    <w:rsid w:val="00D015DC"/>
    <w:rsid w:val="00D0278F"/>
    <w:rsid w:val="00D06D21"/>
    <w:rsid w:val="00D10B25"/>
    <w:rsid w:val="00D1341A"/>
    <w:rsid w:val="00D222F0"/>
    <w:rsid w:val="00D244F5"/>
    <w:rsid w:val="00D24C14"/>
    <w:rsid w:val="00D2570A"/>
    <w:rsid w:val="00D25A9A"/>
    <w:rsid w:val="00D3482B"/>
    <w:rsid w:val="00D52405"/>
    <w:rsid w:val="00D55777"/>
    <w:rsid w:val="00D56CBF"/>
    <w:rsid w:val="00D602D6"/>
    <w:rsid w:val="00D62B51"/>
    <w:rsid w:val="00D65748"/>
    <w:rsid w:val="00D7366A"/>
    <w:rsid w:val="00D77A6A"/>
    <w:rsid w:val="00D8291F"/>
    <w:rsid w:val="00D82CF0"/>
    <w:rsid w:val="00D940A2"/>
    <w:rsid w:val="00D94BA7"/>
    <w:rsid w:val="00D961BC"/>
    <w:rsid w:val="00D968A5"/>
    <w:rsid w:val="00DA02AF"/>
    <w:rsid w:val="00DA3E00"/>
    <w:rsid w:val="00DB1087"/>
    <w:rsid w:val="00DB3CCD"/>
    <w:rsid w:val="00DB72AD"/>
    <w:rsid w:val="00DC55FC"/>
    <w:rsid w:val="00DD1F64"/>
    <w:rsid w:val="00DD5358"/>
    <w:rsid w:val="00DD5F07"/>
    <w:rsid w:val="00DD62B4"/>
    <w:rsid w:val="00DF0879"/>
    <w:rsid w:val="00E1150C"/>
    <w:rsid w:val="00E12994"/>
    <w:rsid w:val="00E13950"/>
    <w:rsid w:val="00E144D7"/>
    <w:rsid w:val="00E15478"/>
    <w:rsid w:val="00E15B80"/>
    <w:rsid w:val="00E16C47"/>
    <w:rsid w:val="00E16FAB"/>
    <w:rsid w:val="00E203BC"/>
    <w:rsid w:val="00E2233D"/>
    <w:rsid w:val="00E22D77"/>
    <w:rsid w:val="00E23F6A"/>
    <w:rsid w:val="00E24090"/>
    <w:rsid w:val="00E247F5"/>
    <w:rsid w:val="00E30F8E"/>
    <w:rsid w:val="00E3348B"/>
    <w:rsid w:val="00E413FB"/>
    <w:rsid w:val="00E4372D"/>
    <w:rsid w:val="00E4481D"/>
    <w:rsid w:val="00E5667D"/>
    <w:rsid w:val="00E60044"/>
    <w:rsid w:val="00E613A2"/>
    <w:rsid w:val="00E65FCE"/>
    <w:rsid w:val="00E66BE8"/>
    <w:rsid w:val="00E708E1"/>
    <w:rsid w:val="00E716F5"/>
    <w:rsid w:val="00E7593F"/>
    <w:rsid w:val="00E75EC7"/>
    <w:rsid w:val="00E7697D"/>
    <w:rsid w:val="00E77A9E"/>
    <w:rsid w:val="00E806E0"/>
    <w:rsid w:val="00E81B3F"/>
    <w:rsid w:val="00E8322A"/>
    <w:rsid w:val="00E919F0"/>
    <w:rsid w:val="00E94DC4"/>
    <w:rsid w:val="00E96810"/>
    <w:rsid w:val="00EA235B"/>
    <w:rsid w:val="00EA2DD4"/>
    <w:rsid w:val="00EC0BED"/>
    <w:rsid w:val="00EC4C9D"/>
    <w:rsid w:val="00ED238E"/>
    <w:rsid w:val="00ED2E37"/>
    <w:rsid w:val="00ED437B"/>
    <w:rsid w:val="00ED732B"/>
    <w:rsid w:val="00EE105B"/>
    <w:rsid w:val="00EE4A0F"/>
    <w:rsid w:val="00EE7738"/>
    <w:rsid w:val="00F00246"/>
    <w:rsid w:val="00F022C8"/>
    <w:rsid w:val="00F1040C"/>
    <w:rsid w:val="00F125B5"/>
    <w:rsid w:val="00F15EBF"/>
    <w:rsid w:val="00F15FAB"/>
    <w:rsid w:val="00F161B0"/>
    <w:rsid w:val="00F2038E"/>
    <w:rsid w:val="00F230B0"/>
    <w:rsid w:val="00F25D1A"/>
    <w:rsid w:val="00F269EF"/>
    <w:rsid w:val="00F32E52"/>
    <w:rsid w:val="00F37EB8"/>
    <w:rsid w:val="00F412FF"/>
    <w:rsid w:val="00F41669"/>
    <w:rsid w:val="00F5343B"/>
    <w:rsid w:val="00F60A01"/>
    <w:rsid w:val="00F6117A"/>
    <w:rsid w:val="00F61255"/>
    <w:rsid w:val="00F62851"/>
    <w:rsid w:val="00F62992"/>
    <w:rsid w:val="00F708B2"/>
    <w:rsid w:val="00F7303A"/>
    <w:rsid w:val="00F766E6"/>
    <w:rsid w:val="00F85504"/>
    <w:rsid w:val="00F85EF6"/>
    <w:rsid w:val="00F963A7"/>
    <w:rsid w:val="00FA1C5D"/>
    <w:rsid w:val="00FA1F1D"/>
    <w:rsid w:val="00FA4F2C"/>
    <w:rsid w:val="00FA711C"/>
    <w:rsid w:val="00FB677A"/>
    <w:rsid w:val="00FB6A72"/>
    <w:rsid w:val="00FC3F90"/>
    <w:rsid w:val="00FD00BD"/>
    <w:rsid w:val="00FD36EE"/>
    <w:rsid w:val="00FD440C"/>
    <w:rsid w:val="00FD50A3"/>
    <w:rsid w:val="00FD610C"/>
    <w:rsid w:val="00FD6A56"/>
    <w:rsid w:val="00FE0318"/>
    <w:rsid w:val="00FE06D6"/>
    <w:rsid w:val="00FE19A8"/>
    <w:rsid w:val="00FE1B50"/>
    <w:rsid w:val="00FE54AE"/>
    <w:rsid w:val="00FE5972"/>
    <w:rsid w:val="00FF5F88"/>
  </w:rsids>
  <m:mathPr>
    <m:mathFont m:val="Tahom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4"/>
      <w:szCs w:val="20"/>
      <w:lang w:val="fr-FR"/>
    </w:rPr>
  </w:style>
  <w:style w:type="paragraph" w:styleId="Heading1">
    <w:name w:val="heading 1"/>
    <w:basedOn w:val="Normal"/>
    <w:next w:val="Normal"/>
    <w:link w:val="Heading1Char1"/>
    <w:uiPriority w:val="99"/>
    <w:qFormat/>
    <w:rsid w:val="007D78CB"/>
    <w:pPr>
      <w:keepNext/>
      <w:numPr>
        <w:numId w:val="1"/>
      </w:numPr>
      <w:spacing w:before="240" w:after="60"/>
      <w:outlineLvl w:val="0"/>
    </w:pPr>
    <w:rPr>
      <w:kern w:val="28"/>
      <w:lang w:val="en-GB"/>
    </w:rPr>
  </w:style>
  <w:style w:type="paragraph" w:styleId="Heading2">
    <w:name w:val="heading 2"/>
    <w:aliases w:val="EP Heading 2"/>
    <w:basedOn w:val="Normal"/>
    <w:next w:val="Normal"/>
    <w:link w:val="Heading2Char"/>
    <w:uiPriority w:val="99"/>
    <w:qFormat/>
    <w:rsid w:val="007D78CB"/>
    <w:pPr>
      <w:keepNext/>
      <w:numPr>
        <w:ilvl w:val="1"/>
        <w:numId w:val="1"/>
      </w:numPr>
      <w:spacing w:before="240" w:after="60"/>
      <w:outlineLvl w:val="1"/>
    </w:pPr>
  </w:style>
  <w:style w:type="paragraph" w:styleId="Heading3">
    <w:name w:val="heading 3"/>
    <w:basedOn w:val="Normal"/>
    <w:next w:val="Normal"/>
    <w:link w:val="Heading3Char"/>
    <w:uiPriority w:val="99"/>
    <w:qFormat/>
    <w:rsid w:val="007D78CB"/>
    <w:pPr>
      <w:keepNext/>
      <w:numPr>
        <w:ilvl w:val="2"/>
        <w:numId w:val="1"/>
      </w:numPr>
      <w:spacing w:before="240" w:after="60"/>
      <w:jc w:val="left"/>
      <w:outlineLvl w:val="2"/>
    </w:pPr>
    <w:rPr>
      <w:rFonts w:ascii="Verdana" w:hAnsi="Verdana"/>
      <w:color w:val="000080"/>
      <w:sz w:val="20"/>
    </w:rPr>
  </w:style>
  <w:style w:type="paragraph" w:styleId="Heading4">
    <w:name w:val="heading 4"/>
    <w:basedOn w:val="Normal"/>
    <w:next w:val="Normal"/>
    <w:link w:val="Heading4Char"/>
    <w:uiPriority w:val="99"/>
    <w:qFormat/>
    <w:rsid w:val="007D78CB"/>
    <w:pPr>
      <w:keepNext/>
      <w:numPr>
        <w:ilvl w:val="3"/>
        <w:numId w:val="1"/>
      </w:numPr>
      <w:spacing w:before="240" w:after="60"/>
      <w:outlineLvl w:val="3"/>
    </w:pPr>
    <w:rPr>
      <w:lang w:val="en-US"/>
    </w:rPr>
  </w:style>
  <w:style w:type="paragraph" w:styleId="Heading5">
    <w:name w:val="heading 5"/>
    <w:basedOn w:val="Normal"/>
    <w:next w:val="Normal"/>
    <w:link w:val="Heading5Char"/>
    <w:uiPriority w:val="99"/>
    <w:qFormat/>
    <w:rsid w:val="007D78CB"/>
    <w:pPr>
      <w:numPr>
        <w:ilvl w:val="4"/>
        <w:numId w:val="2"/>
      </w:numPr>
      <w:spacing w:before="240" w:after="60"/>
      <w:outlineLvl w:val="4"/>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uiPriority w:val="99"/>
    <w:locked/>
    <w:rsid w:val="00F61255"/>
    <w:rPr>
      <w:rFonts w:ascii="Cambria" w:hAnsi="Cambria" w:cs="Times New Roman"/>
      <w:b/>
      <w:bCs/>
      <w:kern w:val="32"/>
      <w:sz w:val="32"/>
      <w:szCs w:val="32"/>
      <w:lang w:val="fr-FR"/>
    </w:rPr>
  </w:style>
  <w:style w:type="character" w:customStyle="1" w:styleId="Heading2Char">
    <w:name w:val="Heading 2 Char"/>
    <w:aliases w:val="EP Heading 2 Char"/>
    <w:basedOn w:val="DefaultParagraphFont"/>
    <w:link w:val="Heading2"/>
    <w:uiPriority w:val="99"/>
    <w:semiHidden/>
    <w:locked/>
    <w:rsid w:val="00F61255"/>
    <w:rPr>
      <w:rFonts w:cs="Times New Roman"/>
      <w:sz w:val="24"/>
      <w:lang w:val="fr-FR" w:eastAsia="en-GB" w:bidi="ar-SA"/>
    </w:rPr>
  </w:style>
  <w:style w:type="character" w:customStyle="1" w:styleId="Heading3Char">
    <w:name w:val="Heading 3 Char"/>
    <w:basedOn w:val="DefaultParagraphFont"/>
    <w:link w:val="Heading3"/>
    <w:uiPriority w:val="99"/>
    <w:semiHidden/>
    <w:locked/>
    <w:rsid w:val="00F61255"/>
    <w:rPr>
      <w:rFonts w:ascii="Verdana" w:hAnsi="Verdana" w:cs="Times New Roman"/>
      <w:color w:val="000080"/>
      <w:lang w:val="fr-FR" w:eastAsia="en-GB" w:bidi="ar-SA"/>
    </w:rPr>
  </w:style>
  <w:style w:type="character" w:customStyle="1" w:styleId="Heading4Char">
    <w:name w:val="Heading 4 Char"/>
    <w:basedOn w:val="DefaultParagraphFont"/>
    <w:link w:val="Heading4"/>
    <w:uiPriority w:val="99"/>
    <w:semiHidden/>
    <w:locked/>
    <w:rsid w:val="00F61255"/>
    <w:rPr>
      <w:rFonts w:cs="Times New Roman"/>
      <w:sz w:val="24"/>
      <w:lang w:val="en-US" w:eastAsia="en-GB" w:bidi="ar-SA"/>
    </w:rPr>
  </w:style>
  <w:style w:type="character" w:customStyle="1" w:styleId="Heading5Char">
    <w:name w:val="Heading 5 Char"/>
    <w:basedOn w:val="DefaultParagraphFont"/>
    <w:link w:val="Heading5"/>
    <w:uiPriority w:val="99"/>
    <w:semiHidden/>
    <w:locked/>
    <w:rsid w:val="00F61255"/>
    <w:rPr>
      <w:rFonts w:cs="Times New Roman"/>
      <w:sz w:val="24"/>
      <w:lang w:val="en-US" w:eastAsia="en-GB" w:bidi="ar-SA"/>
    </w:rPr>
  </w:style>
  <w:style w:type="paragraph" w:styleId="BalloonText">
    <w:name w:val="Balloon Text"/>
    <w:basedOn w:val="Normal"/>
    <w:link w:val="BalloonTextChar"/>
    <w:uiPriority w:val="99"/>
    <w:semiHidden/>
    <w:rsid w:val="007D7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255"/>
    <w:rPr>
      <w:rFonts w:cs="Times New Roman"/>
      <w:sz w:val="2"/>
      <w:lang w:val="fr-FR"/>
    </w:rPr>
  </w:style>
  <w:style w:type="paragraph" w:styleId="Footer">
    <w:name w:val="footer"/>
    <w:basedOn w:val="Normal"/>
    <w:link w:val="FooterChar1"/>
    <w:uiPriority w:val="99"/>
    <w:rsid w:val="007D78CB"/>
    <w:pPr>
      <w:tabs>
        <w:tab w:val="center" w:pos="4536"/>
        <w:tab w:val="right" w:pos="9072"/>
      </w:tabs>
    </w:pPr>
  </w:style>
  <w:style w:type="character" w:customStyle="1" w:styleId="FooterChar">
    <w:name w:val="Footer Char"/>
    <w:basedOn w:val="DefaultParagraphFont"/>
    <w:uiPriority w:val="99"/>
    <w:semiHidden/>
    <w:locked/>
    <w:rsid w:val="00F61255"/>
    <w:rPr>
      <w:rFonts w:cs="Times New Roman"/>
      <w:sz w:val="20"/>
      <w:szCs w:val="20"/>
      <w:lang w:val="fr-FR"/>
    </w:rPr>
  </w:style>
  <w:style w:type="character" w:styleId="PageNumber">
    <w:name w:val="page number"/>
    <w:basedOn w:val="DefaultParagraphFont"/>
    <w:uiPriority w:val="99"/>
    <w:rsid w:val="007D78CB"/>
    <w:rPr>
      <w:rFonts w:cs="Times New Roman"/>
    </w:rPr>
  </w:style>
  <w:style w:type="paragraph" w:styleId="Header">
    <w:name w:val="header"/>
    <w:basedOn w:val="Normal"/>
    <w:link w:val="HeaderChar"/>
    <w:uiPriority w:val="99"/>
    <w:rsid w:val="007D78CB"/>
    <w:pPr>
      <w:tabs>
        <w:tab w:val="center" w:pos="4536"/>
        <w:tab w:val="right" w:pos="9072"/>
      </w:tabs>
    </w:pPr>
  </w:style>
  <w:style w:type="character" w:customStyle="1" w:styleId="HeaderChar">
    <w:name w:val="Header Char"/>
    <w:basedOn w:val="DefaultParagraphFont"/>
    <w:link w:val="Header"/>
    <w:uiPriority w:val="99"/>
    <w:semiHidden/>
    <w:locked/>
    <w:rsid w:val="00F61255"/>
    <w:rPr>
      <w:rFonts w:cs="Times New Roman"/>
      <w:sz w:val="20"/>
      <w:szCs w:val="20"/>
      <w:lang w:val="fr-FR"/>
    </w:rPr>
  </w:style>
  <w:style w:type="paragraph" w:styleId="Index1">
    <w:name w:val="index 1"/>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40" w:hanging="240"/>
    </w:pPr>
    <w:rPr>
      <w:b/>
      <w:lang w:val="en-US"/>
    </w:rPr>
  </w:style>
  <w:style w:type="paragraph" w:styleId="Index2">
    <w:name w:val="index 2"/>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480" w:hanging="240"/>
    </w:pPr>
  </w:style>
  <w:style w:type="paragraph" w:styleId="Index3">
    <w:name w:val="index 3"/>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720" w:hanging="240"/>
    </w:pPr>
  </w:style>
  <w:style w:type="paragraph" w:styleId="Index4">
    <w:name w:val="index 4"/>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960" w:hanging="240"/>
    </w:pPr>
  </w:style>
  <w:style w:type="paragraph" w:styleId="Index5">
    <w:name w:val="index 5"/>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200" w:hanging="240"/>
    </w:pPr>
  </w:style>
  <w:style w:type="paragraph" w:styleId="Index6">
    <w:name w:val="index 6"/>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40" w:hanging="240"/>
    </w:pPr>
  </w:style>
  <w:style w:type="paragraph" w:styleId="Index7">
    <w:name w:val="index 7"/>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680" w:hanging="240"/>
    </w:pPr>
  </w:style>
  <w:style w:type="paragraph" w:styleId="Index8">
    <w:name w:val="index 8"/>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920" w:hanging="240"/>
    </w:pPr>
  </w:style>
  <w:style w:type="paragraph" w:styleId="Index9">
    <w:name w:val="index 9"/>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160" w:hanging="240"/>
    </w:pPr>
  </w:style>
  <w:style w:type="paragraph" w:styleId="IndexHeading">
    <w:name w:val="index heading"/>
    <w:basedOn w:val="Normal"/>
    <w:next w:val="Index1"/>
    <w:uiPriority w:val="99"/>
    <w:semiHidden/>
    <w:rsid w:val="007D78CB"/>
  </w:style>
  <w:style w:type="paragraph" w:styleId="EndnoteText">
    <w:name w:val="endnote text"/>
    <w:basedOn w:val="Normal"/>
    <w:link w:val="EndnoteTextChar"/>
    <w:uiPriority w:val="99"/>
    <w:semiHidden/>
    <w:rsid w:val="007D78CB"/>
    <w:rPr>
      <w:sz w:val="20"/>
    </w:rPr>
  </w:style>
  <w:style w:type="character" w:customStyle="1" w:styleId="EndnoteTextChar">
    <w:name w:val="Endnote Text Char"/>
    <w:basedOn w:val="DefaultParagraphFont"/>
    <w:link w:val="EndnoteText"/>
    <w:uiPriority w:val="99"/>
    <w:semiHidden/>
    <w:locked/>
    <w:rsid w:val="00F61255"/>
    <w:rPr>
      <w:rFonts w:cs="Times New Roman"/>
      <w:sz w:val="20"/>
      <w:szCs w:val="20"/>
      <w:lang w:val="fr-FR"/>
    </w:rPr>
  </w:style>
  <w:style w:type="paragraph" w:styleId="TableofFigures">
    <w:name w:val="table of figures"/>
    <w:basedOn w:val="Normal"/>
    <w:next w:val="Normal"/>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480" w:hanging="480"/>
    </w:pPr>
    <w:rPr>
      <w:rFonts w:ascii="Verdana" w:hAnsi="Verdana"/>
      <w:sz w:val="20"/>
    </w:rPr>
  </w:style>
  <w:style w:type="character" w:styleId="EndnoteReference">
    <w:name w:val="endnote reference"/>
    <w:basedOn w:val="DefaultParagraphFont"/>
    <w:uiPriority w:val="99"/>
    <w:semiHidden/>
    <w:rsid w:val="007D78CB"/>
    <w:rPr>
      <w:rFonts w:cs="Times New Roman"/>
      <w:vertAlign w:val="superscript"/>
    </w:rPr>
  </w:style>
  <w:style w:type="paragraph" w:styleId="EnvelopeAddress">
    <w:name w:val="envelope address"/>
    <w:basedOn w:val="Normal"/>
    <w:uiPriority w:val="99"/>
    <w:rsid w:val="007D78CB"/>
    <w:pPr>
      <w:framePr w:w="7920" w:h="1980" w:hRule="exact" w:hSpace="180" w:wrap="auto" w:hAnchor="page" w:xAlign="center" w:yAlign="bottom"/>
      <w:ind w:left="2880"/>
    </w:pPr>
  </w:style>
  <w:style w:type="paragraph" w:styleId="EnvelopeReturn">
    <w:name w:val="envelope return"/>
    <w:basedOn w:val="Normal"/>
    <w:uiPriority w:val="99"/>
    <w:rsid w:val="007D78CB"/>
    <w:rPr>
      <w:sz w:val="2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
    <w:uiPriority w:val="99"/>
    <w:rsid w:val="007D78CB"/>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F61255"/>
    <w:rPr>
      <w:rFonts w:cs="Times New Roman"/>
      <w:sz w:val="20"/>
      <w:szCs w:val="20"/>
      <w:lang w:val="fr-FR"/>
    </w:rPr>
  </w:style>
  <w:style w:type="character" w:styleId="FootnoteReference">
    <w:name w:val="footnote reference"/>
    <w:basedOn w:val="DefaultParagraphFont"/>
    <w:uiPriority w:val="99"/>
    <w:rsid w:val="007D78CB"/>
    <w:rPr>
      <w:rFonts w:cs="Times New Roman"/>
      <w:vertAlign w:val="superscript"/>
    </w:rPr>
  </w:style>
  <w:style w:type="character" w:styleId="Hyperlink">
    <w:name w:val="Hyperlink"/>
    <w:basedOn w:val="DefaultParagraphFont"/>
    <w:uiPriority w:val="99"/>
    <w:rsid w:val="007D78CB"/>
    <w:rPr>
      <w:rFonts w:cs="Times New Roman"/>
      <w:color w:val="0000FF"/>
      <w:u w:val="single"/>
    </w:rPr>
  </w:style>
  <w:style w:type="table" w:styleId="TableGrid">
    <w:name w:val="Table Grid"/>
    <w:basedOn w:val="TableNormal"/>
    <w:uiPriority w:val="99"/>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00" w:beforeAutospacing="1" w:after="100" w:afterAutospacing="1"/>
      <w:jc w:val="left"/>
    </w:pPr>
    <w:rPr>
      <w:szCs w:val="24"/>
      <w:lang w:val="en-GB"/>
    </w:rPr>
  </w:style>
  <w:style w:type="character" w:styleId="Strong">
    <w:name w:val="Strong"/>
    <w:basedOn w:val="DefaultParagraphFont"/>
    <w:uiPriority w:val="99"/>
    <w:qFormat/>
    <w:rsid w:val="007D78CB"/>
    <w:rPr>
      <w:rFonts w:cs="Times New Roman"/>
      <w:b/>
      <w:bCs/>
    </w:rPr>
  </w:style>
  <w:style w:type="character" w:styleId="Emphasis">
    <w:name w:val="Emphasis"/>
    <w:basedOn w:val="DefaultParagraphFont"/>
    <w:uiPriority w:val="99"/>
    <w:qFormat/>
    <w:rsid w:val="007D78CB"/>
    <w:rPr>
      <w:rFonts w:cs="Times New Roman"/>
      <w:i/>
      <w:iCs/>
    </w:rPr>
  </w:style>
  <w:style w:type="character" w:customStyle="1" w:styleId="Heading1Char1">
    <w:name w:val="Heading 1 Char1"/>
    <w:basedOn w:val="DefaultParagraphFont"/>
    <w:link w:val="Heading1"/>
    <w:uiPriority w:val="99"/>
    <w:locked/>
    <w:rsid w:val="007D78CB"/>
    <w:rPr>
      <w:rFonts w:cs="Times New Roman"/>
      <w:kern w:val="28"/>
      <w:sz w:val="24"/>
      <w:lang w:val="en-GB" w:eastAsia="en-GB" w:bidi="ar-SA"/>
    </w:rPr>
  </w:style>
  <w:style w:type="paragraph" w:styleId="Caption">
    <w:name w:val="caption"/>
    <w:basedOn w:val="Normal"/>
    <w:next w:val="Normal"/>
    <w:uiPriority w:val="99"/>
    <w:qFormat/>
    <w:rsid w:val="00C000D7"/>
    <w:pPr>
      <w:tabs>
        <w:tab w:val="clear" w:pos="1021"/>
      </w:tabs>
      <w:spacing w:after="60"/>
      <w:ind w:left="1418" w:hanging="1418"/>
      <w:jc w:val="left"/>
    </w:pPr>
    <w:rPr>
      <w:rFonts w:ascii="Verdana" w:hAnsi="Verdana"/>
      <w:b/>
      <w:bCs/>
      <w:sz w:val="20"/>
      <w:lang w:val="en-GB"/>
    </w:rPr>
  </w:style>
  <w:style w:type="paragraph" w:styleId="TOC1">
    <w:name w:val="toc 1"/>
    <w:basedOn w:val="Normal"/>
    <w:next w:val="Normal"/>
    <w:autoRedefine/>
    <w:uiPriority w:val="39"/>
    <w:rsid w:val="0086100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6"/>
        <w:tab w:val="right" w:pos="9286"/>
      </w:tabs>
      <w:spacing w:before="180" w:after="80" w:line="264" w:lineRule="auto"/>
      <w:ind w:left="425" w:hanging="425"/>
      <w:jc w:val="left"/>
    </w:pPr>
    <w:rPr>
      <w:rFonts w:ascii="Verdana" w:hAnsi="Verdana" w:cs="Arial"/>
      <w:b/>
      <w:bCs/>
      <w:noProof/>
      <w:color w:val="000080"/>
      <w:sz w:val="22"/>
      <w:szCs w:val="22"/>
    </w:rPr>
  </w:style>
  <w:style w:type="paragraph" w:styleId="TOC2">
    <w:name w:val="toc 2"/>
    <w:basedOn w:val="Normal"/>
    <w:next w:val="Normal"/>
    <w:autoRedefine/>
    <w:uiPriority w:val="39"/>
    <w:rsid w:val="0086100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960"/>
        <w:tab w:val="right" w:pos="9286"/>
      </w:tabs>
      <w:spacing w:before="80" w:after="40" w:line="264" w:lineRule="auto"/>
      <w:ind w:left="992" w:hanging="567"/>
      <w:jc w:val="left"/>
    </w:pPr>
    <w:rPr>
      <w:rFonts w:ascii="Verdana" w:hAnsi="Verdana" w:cs="Arial"/>
      <w:noProof/>
      <w:color w:val="000080"/>
      <w:kern w:val="28"/>
      <w:sz w:val="20"/>
      <w:lang w:val="en-GB"/>
    </w:rPr>
  </w:style>
  <w:style w:type="character" w:styleId="FollowedHyperlink">
    <w:name w:val="FollowedHyperlink"/>
    <w:basedOn w:val="DefaultParagraphFont"/>
    <w:uiPriority w:val="99"/>
    <w:rsid w:val="007D78CB"/>
    <w:rPr>
      <w:rFonts w:cs="Times New Roman"/>
      <w:color w:val="606420"/>
      <w:u w:val="single"/>
    </w:rPr>
  </w:style>
  <w:style w:type="paragraph" w:customStyle="1" w:styleId="5Normal">
    <w:name w:val="5 Normal"/>
    <w:link w:val="5NormalChar"/>
    <w:uiPriority w:val="99"/>
    <w:rsid w:val="007D78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rPr>
  </w:style>
  <w:style w:type="character" w:customStyle="1" w:styleId="5NormalChar">
    <w:name w:val="5 Normal Char"/>
    <w:basedOn w:val="DefaultParagraphFont"/>
    <w:link w:val="5Normal"/>
    <w:uiPriority w:val="99"/>
    <w:locked/>
    <w:rsid w:val="007D78CB"/>
    <w:rPr>
      <w:rFonts w:ascii="Arial" w:hAnsi="Arial" w:cs="Times New Roman"/>
      <w:spacing w:val="-2"/>
      <w:sz w:val="22"/>
      <w:lang w:val="en-GB" w:eastAsia="en-GB" w:bidi="ar-SA"/>
    </w:rPr>
  </w:style>
  <w:style w:type="paragraph" w:customStyle="1" w:styleId="Sous-titre1">
    <w:name w:val="Sous-titre 1"/>
    <w:basedOn w:val="Normal"/>
    <w:next w:val="5Normal"/>
    <w:autoRedefine/>
    <w:uiPriority w:val="99"/>
    <w:rsid w:val="007D78CB"/>
    <w:pPr>
      <w:tabs>
        <w:tab w:val="clear" w:pos="1021"/>
        <w:tab w:val="clear" w:pos="1786"/>
        <w:tab w:val="clear" w:pos="2381"/>
        <w:tab w:val="clear" w:pos="2948"/>
        <w:tab w:val="clear" w:pos="3572"/>
        <w:tab w:val="clear" w:pos="4139"/>
        <w:tab w:val="clear" w:pos="4763"/>
        <w:tab w:val="clear" w:pos="5387"/>
        <w:tab w:val="clear" w:pos="6577"/>
        <w:tab w:val="clear" w:pos="7144"/>
        <w:tab w:val="left" w:pos="284"/>
        <w:tab w:val="left" w:pos="567"/>
        <w:tab w:val="left" w:pos="851"/>
        <w:tab w:val="left" w:pos="1134"/>
        <w:tab w:val="left" w:pos="1701"/>
        <w:tab w:val="left" w:pos="1985"/>
        <w:tab w:val="left" w:pos="2268"/>
        <w:tab w:val="left" w:pos="2552"/>
        <w:tab w:val="left" w:pos="3119"/>
        <w:tab w:val="left" w:pos="4253"/>
        <w:tab w:val="left" w:pos="8222"/>
        <w:tab w:val="right" w:pos="11057"/>
      </w:tabs>
      <w:spacing w:before="240" w:after="240"/>
    </w:pPr>
    <w:rPr>
      <w:rFonts w:ascii="Verdana" w:hAnsi="Verdana"/>
      <w:sz w:val="20"/>
      <w:lang w:val="en-GB"/>
    </w:rPr>
  </w:style>
  <w:style w:type="paragraph" w:customStyle="1" w:styleId="Tiret1">
    <w:name w:val="Tiret 1"/>
    <w:basedOn w:val="Normal"/>
    <w:autoRedefine/>
    <w:uiPriority w:val="99"/>
    <w:rsid w:val="007D78CB"/>
    <w:pPr>
      <w:numPr>
        <w:numId w:val="3"/>
      </w:numPr>
      <w:tabs>
        <w:tab w:val="clear" w:pos="1021"/>
        <w:tab w:val="clear" w:pos="1786"/>
        <w:tab w:val="clear" w:pos="2381"/>
        <w:tab w:val="clear" w:pos="2948"/>
        <w:tab w:val="clear" w:pos="3572"/>
        <w:tab w:val="clear" w:pos="4139"/>
        <w:tab w:val="clear" w:pos="4763"/>
        <w:tab w:val="clear" w:pos="5387"/>
        <w:tab w:val="clear" w:pos="6577"/>
        <w:tab w:val="clear" w:pos="7144"/>
        <w:tab w:val="left" w:pos="426"/>
        <w:tab w:val="left" w:pos="567"/>
        <w:tab w:val="left" w:pos="851"/>
        <w:tab w:val="left" w:pos="1134"/>
        <w:tab w:val="left" w:pos="1701"/>
        <w:tab w:val="left" w:pos="1985"/>
        <w:tab w:val="left" w:pos="2268"/>
        <w:tab w:val="left" w:pos="2552"/>
        <w:tab w:val="left" w:pos="3119"/>
        <w:tab w:val="left" w:pos="4253"/>
        <w:tab w:val="left" w:pos="8222"/>
        <w:tab w:val="right" w:pos="11057"/>
      </w:tabs>
      <w:spacing w:after="120"/>
      <w:ind w:left="357" w:hanging="357"/>
    </w:pPr>
    <w:rPr>
      <w:rFonts w:ascii="Arial" w:hAnsi="Arial"/>
      <w:sz w:val="22"/>
      <w:lang w:val="en-GB"/>
    </w:rPr>
  </w:style>
  <w:style w:type="paragraph" w:customStyle="1" w:styleId="body">
    <w:name w:val="body"/>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00" w:beforeAutospacing="1" w:after="100" w:afterAutospacing="1"/>
      <w:jc w:val="left"/>
    </w:pPr>
    <w:rPr>
      <w:szCs w:val="24"/>
      <w:lang w:val="en-GB"/>
    </w:rPr>
  </w:style>
  <w:style w:type="paragraph" w:styleId="BodyText2">
    <w:name w:val="Body Text 2"/>
    <w:aliases w:val="Знак,Знак4,Знак Знак Знак Знак Знак Знак,Основен текст 21,Знак41"/>
    <w:basedOn w:val="Normal"/>
    <w:link w:val="BodyText2Char1"/>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pPr>
    <w:rPr>
      <w:rFonts w:ascii="Arial Narrow" w:hAnsi="Arial Narrow"/>
      <w:szCs w:val="24"/>
      <w:lang w:val="bg-BG" w:eastAsia="bg-BG"/>
    </w:rPr>
  </w:style>
  <w:style w:type="character" w:customStyle="1" w:styleId="BodyText2Char">
    <w:name w:val="Body Text 2 Char"/>
    <w:aliases w:val="Знак Char,Знак4 Char,Знак Знак Знак Знак Знак Знак Char,Основен текст 21 Char,Знак41 Char"/>
    <w:basedOn w:val="DefaultParagraphFont"/>
    <w:uiPriority w:val="99"/>
    <w:semiHidden/>
    <w:locked/>
    <w:rsid w:val="00F61255"/>
    <w:rPr>
      <w:rFonts w:cs="Times New Roman"/>
      <w:sz w:val="20"/>
      <w:szCs w:val="20"/>
      <w:lang w:val="fr-FR"/>
    </w:rPr>
  </w:style>
  <w:style w:type="character" w:customStyle="1" w:styleId="BodyText2Char1">
    <w:name w:val="Body Text 2 Char1"/>
    <w:aliases w:val="Знак Char1,Знак4 Char1,Знак Знак Знак Знак Знак Знак Char1,Основен текст 21 Char1,Знак41 Char1"/>
    <w:basedOn w:val="DefaultParagraphFont"/>
    <w:link w:val="BodyText2"/>
    <w:uiPriority w:val="99"/>
    <w:locked/>
    <w:rsid w:val="007D78CB"/>
    <w:rPr>
      <w:rFonts w:ascii="Arial Narrow" w:hAnsi="Arial Narrow" w:cs="Times New Roman"/>
      <w:sz w:val="24"/>
      <w:szCs w:val="24"/>
      <w:lang w:val="bg-BG" w:eastAsia="bg-BG" w:bidi="ar-SA"/>
    </w:rPr>
  </w:style>
  <w:style w:type="paragraph" w:customStyle="1" w:styleId="CM59">
    <w:name w:val="CM59"/>
    <w:basedOn w:val="Normal"/>
    <w:next w:val="Normal"/>
    <w:uiPriority w:val="99"/>
    <w:rsid w:val="007D78CB"/>
    <w:pPr>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autoSpaceDE w:val="0"/>
      <w:autoSpaceDN w:val="0"/>
      <w:adjustRightInd w:val="0"/>
      <w:spacing w:after="113"/>
      <w:jc w:val="left"/>
    </w:pPr>
    <w:rPr>
      <w:szCs w:val="24"/>
      <w:lang w:val="bg-BG" w:eastAsia="bg-BG"/>
    </w:rPr>
  </w:style>
  <w:style w:type="paragraph" w:styleId="TOC3">
    <w:name w:val="toc 3"/>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440"/>
        <w:tab w:val="right" w:pos="9286"/>
      </w:tabs>
      <w:spacing w:after="80"/>
      <w:ind w:left="992"/>
    </w:pPr>
    <w:rPr>
      <w:rFonts w:ascii="Verdana" w:hAnsi="Verdana"/>
      <w:noProof/>
      <w:color w:val="000080"/>
      <w:sz w:val="20"/>
      <w:lang w:val="en-GB"/>
    </w:rPr>
  </w:style>
  <w:style w:type="paragraph" w:styleId="TOC5">
    <w:name w:val="toc 5"/>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leader="dot" w:pos="9180"/>
      </w:tabs>
      <w:spacing w:before="40" w:after="120"/>
      <w:ind w:left="1134" w:right="454" w:hanging="1134"/>
      <w:jc w:val="left"/>
    </w:pPr>
    <w:rPr>
      <w:noProof/>
      <w:szCs w:val="24"/>
      <w:lang w:val="it-IT" w:eastAsia="it-IT"/>
    </w:rPr>
  </w:style>
  <w:style w:type="paragraph" w:customStyle="1" w:styleId="Text1">
    <w:name w:val="Text 1"/>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20" w:after="120"/>
      <w:ind w:left="850"/>
    </w:pPr>
    <w:rPr>
      <w:szCs w:val="24"/>
      <w:lang w:val="en-GB" w:eastAsia="de-DE"/>
    </w:rPr>
  </w:style>
  <w:style w:type="paragraph" w:customStyle="1" w:styleId="Tytuctrq">
    <w:name w:val="Tytuł ctr+q"/>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240" w:line="360" w:lineRule="auto"/>
    </w:pPr>
    <w:rPr>
      <w:b/>
      <w:bCs/>
      <w:sz w:val="28"/>
      <w:szCs w:val="24"/>
      <w:lang w:val="lt-LT" w:eastAsia="de-DE"/>
    </w:rPr>
  </w:style>
  <w:style w:type="paragraph" w:styleId="BodyText">
    <w:name w:val="Body Text"/>
    <w:basedOn w:val="Normal"/>
    <w:link w:val="BodyTextChar"/>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jc w:val="left"/>
    </w:pPr>
    <w:rPr>
      <w:szCs w:val="24"/>
      <w:lang w:eastAsia="fr-FR"/>
    </w:rPr>
  </w:style>
  <w:style w:type="character" w:customStyle="1" w:styleId="BodyTextChar">
    <w:name w:val="Body Text Char"/>
    <w:basedOn w:val="DefaultParagraphFont"/>
    <w:link w:val="BodyText"/>
    <w:uiPriority w:val="99"/>
    <w:semiHidden/>
    <w:locked/>
    <w:rsid w:val="00F61255"/>
    <w:rPr>
      <w:rFonts w:cs="Times New Roman"/>
      <w:sz w:val="20"/>
      <w:szCs w:val="20"/>
      <w:lang w:val="fr-FR"/>
    </w:rPr>
  </w:style>
  <w:style w:type="character" w:customStyle="1" w:styleId="Style10pt">
    <w:name w:val="Style 10 pt"/>
    <w:basedOn w:val="DefaultParagraphFont"/>
    <w:uiPriority w:val="99"/>
    <w:rsid w:val="007D78CB"/>
    <w:rPr>
      <w:rFonts w:cs="Times New Roman"/>
      <w:sz w:val="24"/>
    </w:rPr>
  </w:style>
  <w:style w:type="table" w:styleId="TableTheme">
    <w:name w:val="Table Theme"/>
    <w:basedOn w:val="TableNormal"/>
    <w:uiPriority w:val="99"/>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0"/>
      <w:szCs w:val="20"/>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rPr>
      <w:tblPr/>
      <w:tcPr>
        <w:tcBorders>
          <w:left w:val="nil"/>
          <w:bottom w:val="nil"/>
          <w:right w:val="nil"/>
          <w:insideH w:val="nil"/>
          <w:insideV w:val="single" w:sz="4" w:space="0" w:color="auto"/>
        </w:tcBorders>
      </w:tcPr>
    </w:tblStylePr>
  </w:style>
  <w:style w:type="paragraph" w:customStyle="1" w:styleId="StyleHeading1Verdana14ptBoldDarkBlueAllcaps">
    <w:name w:val="Style Heading 1 + Verdana 14 pt Bold Dark Blue All caps"/>
    <w:basedOn w:val="Heading1"/>
    <w:autoRedefine/>
    <w:uiPriority w:val="99"/>
    <w:rsid w:val="00C000D7"/>
    <w:pPr>
      <w:tabs>
        <w:tab w:val="clear" w:pos="36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567"/>
      </w:tabs>
      <w:spacing w:before="600" w:after="120" w:line="264" w:lineRule="auto"/>
      <w:ind w:left="567" w:hanging="567"/>
    </w:pPr>
    <w:rPr>
      <w:rFonts w:ascii="Verdana" w:hAnsi="Verdana"/>
      <w:b/>
      <w:bCs/>
      <w:caps/>
      <w:color w:val="000080"/>
      <w:sz w:val="28"/>
    </w:rPr>
  </w:style>
  <w:style w:type="paragraph" w:customStyle="1" w:styleId="Otherheading1">
    <w:name w:val="Other heading 1"/>
    <w:basedOn w:val="Heading1"/>
    <w:link w:val="Otherheading1Char"/>
    <w:uiPriority w:val="99"/>
    <w:rsid w:val="007D78CB"/>
    <w:pPr>
      <w:numPr>
        <w:numId w:val="0"/>
      </w:numPr>
      <w:spacing w:before="120" w:after="120"/>
      <w:jc w:val="left"/>
    </w:pPr>
    <w:rPr>
      <w:rFonts w:ascii="Verdana" w:hAnsi="Verdana"/>
      <w:b/>
      <w:caps/>
      <w:color w:val="000080"/>
      <w:sz w:val="28"/>
    </w:rPr>
  </w:style>
  <w:style w:type="table" w:styleId="TableGrid8">
    <w:name w:val="Table Grid 8"/>
    <w:basedOn w:val="TableNormal"/>
    <w:uiPriority w:val="99"/>
    <w:rsid w:val="007D78C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FooterChar1">
    <w:name w:val="Footer Char1"/>
    <w:link w:val="Footer"/>
    <w:uiPriority w:val="99"/>
    <w:locked/>
    <w:rsid w:val="007D78CB"/>
    <w:rPr>
      <w:sz w:val="24"/>
      <w:lang w:val="fr-FR" w:eastAsia="en-GB"/>
    </w:rPr>
  </w:style>
  <w:style w:type="paragraph" w:customStyle="1" w:styleId="EUPfootonote">
    <w:name w:val="EUP footonote"/>
    <w:basedOn w:val="Footer"/>
    <w:autoRedefine/>
    <w:uiPriority w:val="99"/>
    <w:rsid w:val="003E1578"/>
    <w:pP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 w:val="left" w:pos="284"/>
      </w:tabs>
      <w:spacing w:line="264" w:lineRule="auto"/>
    </w:pPr>
    <w:rPr>
      <w:rFonts w:ascii="Verdana" w:hAnsi="Verdana"/>
      <w:sz w:val="16"/>
      <w:szCs w:val="16"/>
      <w:lang w:val="en-GB"/>
    </w:rPr>
  </w:style>
  <w:style w:type="paragraph" w:customStyle="1" w:styleId="EUPHeading1">
    <w:name w:val="EUP  Heading 1"/>
    <w:basedOn w:val="StyleHeading1Verdana14ptBoldDarkBlueAllcaps"/>
    <w:autoRedefine/>
    <w:uiPriority w:val="99"/>
    <w:rsid w:val="00A17C1D"/>
    <w:pPr>
      <w:numPr>
        <w:numId w:val="0"/>
      </w:numPr>
      <w:jc w:val="center"/>
    </w:pPr>
    <w:rPr>
      <w:bCs w:val="0"/>
      <w:caps w:val="0"/>
      <w:sz w:val="44"/>
      <w:szCs w:val="44"/>
    </w:rPr>
  </w:style>
  <w:style w:type="paragraph" w:customStyle="1" w:styleId="EUPNormal">
    <w:name w:val="EUP Normal"/>
    <w:basedOn w:val="Normal"/>
    <w:autoRedefine/>
    <w:uiPriority w:val="99"/>
    <w:rsid w:val="007D6C33"/>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851"/>
      </w:tabs>
      <w:spacing w:before="180" w:after="120" w:line="264" w:lineRule="auto"/>
    </w:pPr>
    <w:rPr>
      <w:rFonts w:ascii="Verdana" w:hAnsi="Verdana"/>
      <w:sz w:val="20"/>
      <w:szCs w:val="16"/>
      <w:lang w:val="en-GB"/>
    </w:rPr>
  </w:style>
  <w:style w:type="paragraph" w:customStyle="1" w:styleId="EUPHeading2">
    <w:name w:val="EUP Heading 2"/>
    <w:basedOn w:val="Heading2"/>
    <w:link w:val="EUPHeading2Char"/>
    <w:autoRedefine/>
    <w:uiPriority w:val="99"/>
    <w:rsid w:val="00BA554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851"/>
      </w:tabs>
      <w:spacing w:before="300" w:after="180" w:line="264" w:lineRule="auto"/>
      <w:ind w:left="794" w:hanging="794"/>
    </w:pPr>
    <w:rPr>
      <w:rFonts w:ascii="Verdana" w:hAnsi="Verdana"/>
      <w:b/>
      <w:bCs/>
      <w:color w:val="000080"/>
      <w:lang w:val="en-GB"/>
    </w:rPr>
  </w:style>
  <w:style w:type="paragraph" w:styleId="TOC4">
    <w:name w:val="toc 4"/>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720"/>
    </w:pPr>
  </w:style>
  <w:style w:type="paragraph" w:styleId="TOC6">
    <w:name w:val="toc 6"/>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200"/>
    </w:pPr>
  </w:style>
  <w:style w:type="paragraph" w:styleId="TOC7">
    <w:name w:val="toc 7"/>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40"/>
    </w:pPr>
  </w:style>
  <w:style w:type="paragraph" w:styleId="TOC8">
    <w:name w:val="toc 8"/>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680"/>
    </w:pPr>
  </w:style>
  <w:style w:type="paragraph" w:styleId="TOC9">
    <w:name w:val="toc 9"/>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920"/>
    </w:pPr>
  </w:style>
  <w:style w:type="character" w:styleId="CommentReference">
    <w:name w:val="annotation reference"/>
    <w:basedOn w:val="DefaultParagraphFont"/>
    <w:uiPriority w:val="99"/>
    <w:semiHidden/>
    <w:rsid w:val="006974DF"/>
    <w:rPr>
      <w:rFonts w:cs="Times New Roman"/>
      <w:sz w:val="16"/>
      <w:szCs w:val="16"/>
    </w:rPr>
  </w:style>
  <w:style w:type="paragraph" w:styleId="CommentText">
    <w:name w:val="annotation text"/>
    <w:basedOn w:val="Normal"/>
    <w:link w:val="CommentTextChar"/>
    <w:uiPriority w:val="99"/>
    <w:semiHidden/>
    <w:rsid w:val="006974DF"/>
    <w:rPr>
      <w:sz w:val="20"/>
    </w:rPr>
  </w:style>
  <w:style w:type="character" w:customStyle="1" w:styleId="CommentTextChar">
    <w:name w:val="Comment Text Char"/>
    <w:basedOn w:val="DefaultParagraphFont"/>
    <w:link w:val="CommentText"/>
    <w:uiPriority w:val="99"/>
    <w:semiHidden/>
    <w:locked/>
    <w:rsid w:val="00F61255"/>
    <w:rPr>
      <w:rFonts w:cs="Times New Roman"/>
      <w:sz w:val="20"/>
      <w:szCs w:val="20"/>
      <w:lang w:val="fr-FR"/>
    </w:rPr>
  </w:style>
  <w:style w:type="paragraph" w:styleId="CommentSubject">
    <w:name w:val="annotation subject"/>
    <w:basedOn w:val="CommentText"/>
    <w:next w:val="CommentText"/>
    <w:link w:val="CommentSubjectChar"/>
    <w:uiPriority w:val="99"/>
    <w:semiHidden/>
    <w:rsid w:val="006974DF"/>
    <w:rPr>
      <w:b/>
      <w:bCs/>
    </w:rPr>
  </w:style>
  <w:style w:type="character" w:customStyle="1" w:styleId="CommentSubjectChar">
    <w:name w:val="Comment Subject Char"/>
    <w:basedOn w:val="CommentTextChar"/>
    <w:link w:val="CommentSubject"/>
    <w:uiPriority w:val="99"/>
    <w:semiHidden/>
    <w:locked/>
    <w:rsid w:val="00F61255"/>
    <w:rPr>
      <w:rFonts w:cs="Times New Roman"/>
      <w:b/>
      <w:bCs/>
      <w:sz w:val="20"/>
      <w:szCs w:val="20"/>
      <w:lang w:val="fr-FR"/>
    </w:rPr>
  </w:style>
  <w:style w:type="character" w:customStyle="1" w:styleId="ata11y">
    <w:name w:val="at_a11y"/>
    <w:basedOn w:val="DefaultParagraphFont"/>
    <w:uiPriority w:val="99"/>
    <w:rsid w:val="004D37AA"/>
    <w:rPr>
      <w:rFonts w:cs="Times New Roman"/>
    </w:rPr>
  </w:style>
  <w:style w:type="character" w:customStyle="1" w:styleId="CharChar">
    <w:name w:val="Char Char"/>
    <w:uiPriority w:val="99"/>
    <w:rsid w:val="00A17C1D"/>
    <w:rPr>
      <w:sz w:val="24"/>
      <w:lang w:val="fr-FR" w:eastAsia="en-GB"/>
    </w:rPr>
  </w:style>
  <w:style w:type="character" w:customStyle="1" w:styleId="HeaderChar1">
    <w:name w:val="Header Char1"/>
    <w:basedOn w:val="DefaultParagraphFont"/>
    <w:uiPriority w:val="99"/>
    <w:locked/>
    <w:rsid w:val="00A17C1D"/>
    <w:rPr>
      <w:rFonts w:cs="Times New Roman"/>
      <w:sz w:val="24"/>
      <w:lang w:val="en-GB" w:eastAsia="en-GB"/>
    </w:rPr>
  </w:style>
  <w:style w:type="character" w:customStyle="1" w:styleId="EUPHeading2Char">
    <w:name w:val="EUP Heading 2 Char"/>
    <w:basedOn w:val="Heading2Char"/>
    <w:link w:val="EUPHeading2"/>
    <w:uiPriority w:val="99"/>
    <w:locked/>
    <w:rsid w:val="00BA5544"/>
    <w:rPr>
      <w:rFonts w:ascii="Verdana" w:hAnsi="Verdana" w:cs="Times New Roman"/>
      <w:b/>
      <w:bCs/>
      <w:color w:val="000080"/>
      <w:sz w:val="24"/>
      <w:szCs w:val="20"/>
      <w:lang w:val="fr-FR" w:eastAsia="en-GB" w:bidi="ar-SA"/>
    </w:rPr>
  </w:style>
  <w:style w:type="paragraph" w:customStyle="1" w:styleId="StyleOtherheading110pt">
    <w:name w:val="Style Other heading 1 + 10 pt"/>
    <w:basedOn w:val="Otherheading1"/>
    <w:link w:val="StyleOtherheading110ptChar"/>
    <w:autoRedefine/>
    <w:uiPriority w:val="99"/>
    <w:rsid w:val="00757131"/>
    <w:pPr>
      <w:spacing w:before="240"/>
    </w:pPr>
    <w:rPr>
      <w:bCs/>
      <w:sz w:val="20"/>
    </w:rPr>
  </w:style>
  <w:style w:type="character" w:customStyle="1" w:styleId="Otherheading1Char">
    <w:name w:val="Other heading 1 Char"/>
    <w:basedOn w:val="Heading1Char1"/>
    <w:link w:val="Otherheading1"/>
    <w:uiPriority w:val="99"/>
    <w:locked/>
    <w:rsid w:val="00757131"/>
    <w:rPr>
      <w:rFonts w:ascii="Verdana" w:hAnsi="Verdana" w:cs="Times New Roman"/>
      <w:b/>
      <w:caps/>
      <w:color w:val="000080"/>
      <w:kern w:val="28"/>
      <w:sz w:val="28"/>
      <w:lang w:val="en-GB" w:eastAsia="en-GB" w:bidi="ar-SA"/>
    </w:rPr>
  </w:style>
  <w:style w:type="character" w:customStyle="1" w:styleId="StyleOtherheading110ptChar">
    <w:name w:val="Style Other heading 1 + 10 pt Char"/>
    <w:basedOn w:val="Otherheading1Char"/>
    <w:link w:val="StyleOtherheading110pt"/>
    <w:uiPriority w:val="99"/>
    <w:locked/>
    <w:rsid w:val="00757131"/>
    <w:rPr>
      <w:rFonts w:ascii="Verdana" w:hAnsi="Verdana" w:cs="Times New Roman"/>
      <w:b/>
      <w:bCs/>
      <w:caps/>
      <w:color w:val="000080"/>
      <w:kern w:val="28"/>
      <w:sz w:val="28"/>
      <w:lang w:val="en-GB" w:eastAsia="en-GB" w:bidi="ar-SA"/>
    </w:rPr>
  </w:style>
  <w:style w:type="paragraph" w:customStyle="1" w:styleId="StyleOtherheading1Before12ptLinespacingMultiple11">
    <w:name w:val="Style Other heading 1 + Before:  12 pt Line spacing:  Multiple 11..."/>
    <w:basedOn w:val="Otherheading1"/>
    <w:autoRedefine/>
    <w:uiPriority w:val="99"/>
    <w:rsid w:val="000E292F"/>
    <w:pPr>
      <w:spacing w:before="360" w:after="240" w:line="264" w:lineRule="auto"/>
    </w:pPr>
    <w:rPr>
      <w:bCs/>
    </w:rPr>
  </w:style>
  <w:style w:type="paragraph" w:styleId="ListParagraph">
    <w:name w:val="List Paragraph"/>
    <w:basedOn w:val="Normal"/>
    <w:uiPriority w:val="34"/>
    <w:qFormat/>
    <w:rsid w:val="006B2068"/>
    <w:pPr>
      <w:ind w:left="720"/>
      <w:contextualSpacing/>
    </w:pPr>
  </w:style>
  <w:style w:type="paragraph" w:customStyle="1" w:styleId="articledetails">
    <w:name w:val="articledetails"/>
    <w:basedOn w:val="Normal"/>
    <w:rsid w:val="006B2068"/>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Lines="1" w:afterLines="1"/>
      <w:jc w:val="left"/>
    </w:pPr>
    <w:rPr>
      <w:rFonts w:ascii="Times" w:hAnsi="Times"/>
      <w:sz w:val="20"/>
      <w:lang w:val="en-US" w:eastAsia="en-US"/>
    </w:rPr>
  </w:style>
  <w:style w:type="character" w:customStyle="1" w:styleId="maintitle">
    <w:name w:val="maintitle"/>
    <w:basedOn w:val="DefaultParagraphFont"/>
    <w:rsid w:val="006B2068"/>
  </w:style>
  <w:style w:type="character" w:customStyle="1" w:styleId="FootnoteTextChar1">
    <w:name w:val="Footnote Text Char1"/>
    <w:aliases w:val="Fußnotentextf Char1,Fußnotentextr Char1,stile 1 Char1,Footnote Char1,Footnote1 Char1,Footnote2 Char1,Footnote3 Char1,Footnote4 Char1,Footnote5 Char1,Footnote6 Char1,Footnote7 Char1,Footnote8 Char1,Footnote9 Char1,Footnote10 Char1"/>
    <w:uiPriority w:val="99"/>
    <w:locked/>
    <w:rsid w:val="0042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4"/>
      <w:szCs w:val="20"/>
      <w:lang w:val="fr-FR"/>
    </w:rPr>
  </w:style>
  <w:style w:type="paragraph" w:styleId="Heading1">
    <w:name w:val="heading 1"/>
    <w:basedOn w:val="Normal"/>
    <w:next w:val="Normal"/>
    <w:link w:val="Heading1Char1"/>
    <w:uiPriority w:val="99"/>
    <w:qFormat/>
    <w:rsid w:val="007D78CB"/>
    <w:pPr>
      <w:keepNext/>
      <w:numPr>
        <w:numId w:val="1"/>
      </w:numPr>
      <w:spacing w:before="240" w:after="60"/>
      <w:outlineLvl w:val="0"/>
    </w:pPr>
    <w:rPr>
      <w:kern w:val="28"/>
      <w:lang w:val="en-GB"/>
    </w:rPr>
  </w:style>
  <w:style w:type="paragraph" w:styleId="Heading2">
    <w:name w:val="heading 2"/>
    <w:aliases w:val="EP Heading 2"/>
    <w:basedOn w:val="Normal"/>
    <w:next w:val="Normal"/>
    <w:link w:val="Heading2Char"/>
    <w:uiPriority w:val="99"/>
    <w:qFormat/>
    <w:rsid w:val="007D78CB"/>
    <w:pPr>
      <w:keepNext/>
      <w:numPr>
        <w:ilvl w:val="1"/>
        <w:numId w:val="1"/>
      </w:numPr>
      <w:spacing w:before="240" w:after="60"/>
      <w:outlineLvl w:val="1"/>
    </w:pPr>
  </w:style>
  <w:style w:type="paragraph" w:styleId="Heading3">
    <w:name w:val="heading 3"/>
    <w:basedOn w:val="Normal"/>
    <w:next w:val="Normal"/>
    <w:link w:val="Heading3Char"/>
    <w:uiPriority w:val="99"/>
    <w:qFormat/>
    <w:rsid w:val="007D78CB"/>
    <w:pPr>
      <w:keepNext/>
      <w:numPr>
        <w:ilvl w:val="2"/>
        <w:numId w:val="1"/>
      </w:numPr>
      <w:spacing w:before="240" w:after="60"/>
      <w:jc w:val="left"/>
      <w:outlineLvl w:val="2"/>
    </w:pPr>
    <w:rPr>
      <w:rFonts w:ascii="Verdana" w:hAnsi="Verdana"/>
      <w:color w:val="000080"/>
      <w:sz w:val="20"/>
    </w:rPr>
  </w:style>
  <w:style w:type="paragraph" w:styleId="Heading4">
    <w:name w:val="heading 4"/>
    <w:basedOn w:val="Normal"/>
    <w:next w:val="Normal"/>
    <w:link w:val="Heading4Char"/>
    <w:uiPriority w:val="99"/>
    <w:qFormat/>
    <w:rsid w:val="007D78CB"/>
    <w:pPr>
      <w:keepNext/>
      <w:numPr>
        <w:ilvl w:val="3"/>
        <w:numId w:val="1"/>
      </w:numPr>
      <w:spacing w:before="240" w:after="60"/>
      <w:outlineLvl w:val="3"/>
    </w:pPr>
    <w:rPr>
      <w:lang w:val="en-US"/>
    </w:rPr>
  </w:style>
  <w:style w:type="paragraph" w:styleId="Heading5">
    <w:name w:val="heading 5"/>
    <w:basedOn w:val="Normal"/>
    <w:next w:val="Normal"/>
    <w:link w:val="Heading5Char"/>
    <w:uiPriority w:val="99"/>
    <w:qFormat/>
    <w:rsid w:val="007D78CB"/>
    <w:pPr>
      <w:numPr>
        <w:ilvl w:val="4"/>
        <w:numId w:val="2"/>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61255"/>
    <w:rPr>
      <w:rFonts w:ascii="Cambria" w:hAnsi="Cambria" w:cs="Times New Roman"/>
      <w:b/>
      <w:bCs/>
      <w:kern w:val="32"/>
      <w:sz w:val="32"/>
      <w:szCs w:val="32"/>
      <w:lang w:val="fr-FR"/>
    </w:rPr>
  </w:style>
  <w:style w:type="character" w:customStyle="1" w:styleId="Heading2Char">
    <w:name w:val="Heading 2 Char"/>
    <w:aliases w:val="EP Heading 2 Char"/>
    <w:basedOn w:val="DefaultParagraphFont"/>
    <w:link w:val="Heading2"/>
    <w:uiPriority w:val="99"/>
    <w:semiHidden/>
    <w:locked/>
    <w:rsid w:val="00F61255"/>
    <w:rPr>
      <w:rFonts w:cs="Times New Roman"/>
      <w:sz w:val="24"/>
      <w:lang w:val="fr-FR" w:eastAsia="en-GB" w:bidi="ar-SA"/>
    </w:rPr>
  </w:style>
  <w:style w:type="character" w:customStyle="1" w:styleId="Heading3Char">
    <w:name w:val="Heading 3 Char"/>
    <w:basedOn w:val="DefaultParagraphFont"/>
    <w:link w:val="Heading3"/>
    <w:uiPriority w:val="99"/>
    <w:semiHidden/>
    <w:locked/>
    <w:rsid w:val="00F61255"/>
    <w:rPr>
      <w:rFonts w:ascii="Verdana" w:hAnsi="Verdana" w:cs="Times New Roman"/>
      <w:color w:val="000080"/>
      <w:lang w:val="fr-FR" w:eastAsia="en-GB" w:bidi="ar-SA"/>
    </w:rPr>
  </w:style>
  <w:style w:type="character" w:customStyle="1" w:styleId="Heading4Char">
    <w:name w:val="Heading 4 Char"/>
    <w:basedOn w:val="DefaultParagraphFont"/>
    <w:link w:val="Heading4"/>
    <w:uiPriority w:val="99"/>
    <w:semiHidden/>
    <w:locked/>
    <w:rsid w:val="00F61255"/>
    <w:rPr>
      <w:rFonts w:cs="Times New Roman"/>
      <w:sz w:val="24"/>
      <w:lang w:val="en-US" w:eastAsia="en-GB" w:bidi="ar-SA"/>
    </w:rPr>
  </w:style>
  <w:style w:type="character" w:customStyle="1" w:styleId="Heading5Char">
    <w:name w:val="Heading 5 Char"/>
    <w:basedOn w:val="DefaultParagraphFont"/>
    <w:link w:val="Heading5"/>
    <w:uiPriority w:val="99"/>
    <w:semiHidden/>
    <w:locked/>
    <w:rsid w:val="00F61255"/>
    <w:rPr>
      <w:rFonts w:cs="Times New Roman"/>
      <w:sz w:val="24"/>
      <w:lang w:val="en-US" w:eastAsia="en-GB" w:bidi="ar-SA"/>
    </w:rPr>
  </w:style>
  <w:style w:type="paragraph" w:styleId="BalloonText">
    <w:name w:val="Balloon Text"/>
    <w:basedOn w:val="Normal"/>
    <w:link w:val="BalloonTextChar"/>
    <w:uiPriority w:val="99"/>
    <w:semiHidden/>
    <w:rsid w:val="007D7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255"/>
    <w:rPr>
      <w:rFonts w:cs="Times New Roman"/>
      <w:sz w:val="2"/>
      <w:lang w:val="fr-FR"/>
    </w:rPr>
  </w:style>
  <w:style w:type="paragraph" w:styleId="Footer">
    <w:name w:val="footer"/>
    <w:basedOn w:val="Normal"/>
    <w:link w:val="FooterChar1"/>
    <w:uiPriority w:val="99"/>
    <w:rsid w:val="007D78CB"/>
    <w:pPr>
      <w:tabs>
        <w:tab w:val="center" w:pos="4536"/>
        <w:tab w:val="right" w:pos="9072"/>
      </w:tabs>
    </w:pPr>
  </w:style>
  <w:style w:type="character" w:customStyle="1" w:styleId="FooterChar">
    <w:name w:val="Footer Char"/>
    <w:basedOn w:val="DefaultParagraphFont"/>
    <w:uiPriority w:val="99"/>
    <w:semiHidden/>
    <w:locked/>
    <w:rsid w:val="00F61255"/>
    <w:rPr>
      <w:rFonts w:cs="Times New Roman"/>
      <w:sz w:val="20"/>
      <w:szCs w:val="20"/>
      <w:lang w:val="fr-FR"/>
    </w:rPr>
  </w:style>
  <w:style w:type="character" w:styleId="PageNumber">
    <w:name w:val="page number"/>
    <w:basedOn w:val="DefaultParagraphFont"/>
    <w:uiPriority w:val="99"/>
    <w:rsid w:val="007D78CB"/>
    <w:rPr>
      <w:rFonts w:cs="Times New Roman"/>
    </w:rPr>
  </w:style>
  <w:style w:type="paragraph" w:styleId="Header">
    <w:name w:val="header"/>
    <w:basedOn w:val="Normal"/>
    <w:link w:val="HeaderChar"/>
    <w:uiPriority w:val="99"/>
    <w:rsid w:val="007D78CB"/>
    <w:pPr>
      <w:tabs>
        <w:tab w:val="center" w:pos="4536"/>
        <w:tab w:val="right" w:pos="9072"/>
      </w:tabs>
    </w:pPr>
  </w:style>
  <w:style w:type="character" w:customStyle="1" w:styleId="HeaderChar">
    <w:name w:val="Header Char"/>
    <w:basedOn w:val="DefaultParagraphFont"/>
    <w:link w:val="Header"/>
    <w:uiPriority w:val="99"/>
    <w:semiHidden/>
    <w:locked/>
    <w:rsid w:val="00F61255"/>
    <w:rPr>
      <w:rFonts w:cs="Times New Roman"/>
      <w:sz w:val="20"/>
      <w:szCs w:val="20"/>
      <w:lang w:val="fr-FR"/>
    </w:rPr>
  </w:style>
  <w:style w:type="paragraph" w:styleId="Index1">
    <w:name w:val="index 1"/>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40" w:hanging="240"/>
    </w:pPr>
    <w:rPr>
      <w:b/>
      <w:lang w:val="en-US"/>
    </w:rPr>
  </w:style>
  <w:style w:type="paragraph" w:styleId="Index2">
    <w:name w:val="index 2"/>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480" w:hanging="240"/>
    </w:pPr>
  </w:style>
  <w:style w:type="paragraph" w:styleId="Index3">
    <w:name w:val="index 3"/>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720" w:hanging="240"/>
    </w:pPr>
  </w:style>
  <w:style w:type="paragraph" w:styleId="Index4">
    <w:name w:val="index 4"/>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960" w:hanging="240"/>
    </w:pPr>
  </w:style>
  <w:style w:type="paragraph" w:styleId="Index5">
    <w:name w:val="index 5"/>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200" w:hanging="240"/>
    </w:pPr>
  </w:style>
  <w:style w:type="paragraph" w:styleId="Index6">
    <w:name w:val="index 6"/>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40" w:hanging="240"/>
    </w:pPr>
  </w:style>
  <w:style w:type="paragraph" w:styleId="Index7">
    <w:name w:val="index 7"/>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680" w:hanging="240"/>
    </w:pPr>
  </w:style>
  <w:style w:type="paragraph" w:styleId="Index8">
    <w:name w:val="index 8"/>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920" w:hanging="240"/>
    </w:pPr>
  </w:style>
  <w:style w:type="paragraph" w:styleId="Index9">
    <w:name w:val="index 9"/>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160" w:hanging="240"/>
    </w:pPr>
  </w:style>
  <w:style w:type="paragraph" w:styleId="IndexHeading">
    <w:name w:val="index heading"/>
    <w:basedOn w:val="Normal"/>
    <w:next w:val="Index1"/>
    <w:uiPriority w:val="99"/>
    <w:semiHidden/>
    <w:rsid w:val="007D78CB"/>
  </w:style>
  <w:style w:type="paragraph" w:styleId="EndnoteText">
    <w:name w:val="endnote text"/>
    <w:basedOn w:val="Normal"/>
    <w:link w:val="EndnoteTextChar"/>
    <w:uiPriority w:val="99"/>
    <w:semiHidden/>
    <w:rsid w:val="007D78CB"/>
    <w:rPr>
      <w:sz w:val="20"/>
    </w:rPr>
  </w:style>
  <w:style w:type="character" w:customStyle="1" w:styleId="EndnoteTextChar">
    <w:name w:val="Endnote Text Char"/>
    <w:basedOn w:val="DefaultParagraphFont"/>
    <w:link w:val="EndnoteText"/>
    <w:uiPriority w:val="99"/>
    <w:semiHidden/>
    <w:locked/>
    <w:rsid w:val="00F61255"/>
    <w:rPr>
      <w:rFonts w:cs="Times New Roman"/>
      <w:sz w:val="20"/>
      <w:szCs w:val="20"/>
      <w:lang w:val="fr-FR"/>
    </w:rPr>
  </w:style>
  <w:style w:type="paragraph" w:styleId="TableofFigures">
    <w:name w:val="table of figures"/>
    <w:basedOn w:val="Normal"/>
    <w:next w:val="Normal"/>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480" w:hanging="480"/>
    </w:pPr>
    <w:rPr>
      <w:rFonts w:ascii="Verdana" w:hAnsi="Verdana"/>
      <w:sz w:val="20"/>
    </w:rPr>
  </w:style>
  <w:style w:type="character" w:styleId="EndnoteReference">
    <w:name w:val="endnote reference"/>
    <w:basedOn w:val="DefaultParagraphFont"/>
    <w:uiPriority w:val="99"/>
    <w:semiHidden/>
    <w:rsid w:val="007D78CB"/>
    <w:rPr>
      <w:rFonts w:cs="Times New Roman"/>
      <w:vertAlign w:val="superscript"/>
    </w:rPr>
  </w:style>
  <w:style w:type="paragraph" w:styleId="EnvelopeAddress">
    <w:name w:val="envelope address"/>
    <w:basedOn w:val="Normal"/>
    <w:uiPriority w:val="99"/>
    <w:rsid w:val="007D78CB"/>
    <w:pPr>
      <w:framePr w:w="7920" w:h="1980" w:hRule="exact" w:hSpace="180" w:wrap="auto" w:hAnchor="page" w:xAlign="center" w:yAlign="bottom"/>
      <w:ind w:left="2880"/>
    </w:pPr>
  </w:style>
  <w:style w:type="paragraph" w:styleId="EnvelopeReturn">
    <w:name w:val="envelope return"/>
    <w:basedOn w:val="Normal"/>
    <w:uiPriority w:val="99"/>
    <w:rsid w:val="007D78CB"/>
    <w:rPr>
      <w:sz w:val="2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
    <w:uiPriority w:val="99"/>
    <w:rsid w:val="007D78CB"/>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F61255"/>
    <w:rPr>
      <w:rFonts w:cs="Times New Roman"/>
      <w:sz w:val="20"/>
      <w:szCs w:val="20"/>
      <w:lang w:val="fr-FR"/>
    </w:rPr>
  </w:style>
  <w:style w:type="character" w:styleId="FootnoteReference">
    <w:name w:val="footnote reference"/>
    <w:basedOn w:val="DefaultParagraphFont"/>
    <w:uiPriority w:val="99"/>
    <w:rsid w:val="007D78CB"/>
    <w:rPr>
      <w:rFonts w:cs="Times New Roman"/>
      <w:vertAlign w:val="superscript"/>
    </w:rPr>
  </w:style>
  <w:style w:type="character" w:styleId="Hyperlink">
    <w:name w:val="Hyperlink"/>
    <w:basedOn w:val="DefaultParagraphFont"/>
    <w:uiPriority w:val="99"/>
    <w:rsid w:val="007D78CB"/>
    <w:rPr>
      <w:rFonts w:cs="Times New Roman"/>
      <w:color w:val="0000FF"/>
      <w:u w:val="single"/>
    </w:rPr>
  </w:style>
  <w:style w:type="table" w:styleId="TableGrid">
    <w:name w:val="Table Grid"/>
    <w:basedOn w:val="TableNormal"/>
    <w:uiPriority w:val="99"/>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00" w:beforeAutospacing="1" w:after="100" w:afterAutospacing="1"/>
      <w:jc w:val="left"/>
    </w:pPr>
    <w:rPr>
      <w:szCs w:val="24"/>
      <w:lang w:val="en-GB"/>
    </w:rPr>
  </w:style>
  <w:style w:type="character" w:styleId="Strong">
    <w:name w:val="Strong"/>
    <w:basedOn w:val="DefaultParagraphFont"/>
    <w:uiPriority w:val="99"/>
    <w:qFormat/>
    <w:rsid w:val="007D78CB"/>
    <w:rPr>
      <w:rFonts w:cs="Times New Roman"/>
      <w:b/>
      <w:bCs/>
    </w:rPr>
  </w:style>
  <w:style w:type="character" w:styleId="Emphasis">
    <w:name w:val="Emphasis"/>
    <w:basedOn w:val="DefaultParagraphFont"/>
    <w:uiPriority w:val="99"/>
    <w:qFormat/>
    <w:rsid w:val="007D78CB"/>
    <w:rPr>
      <w:rFonts w:cs="Times New Roman"/>
      <w:i/>
      <w:iCs/>
    </w:rPr>
  </w:style>
  <w:style w:type="character" w:customStyle="1" w:styleId="Heading1Char1">
    <w:name w:val="Heading 1 Char1"/>
    <w:basedOn w:val="DefaultParagraphFont"/>
    <w:link w:val="Heading1"/>
    <w:uiPriority w:val="99"/>
    <w:locked/>
    <w:rsid w:val="007D78CB"/>
    <w:rPr>
      <w:rFonts w:cs="Times New Roman"/>
      <w:kern w:val="28"/>
      <w:sz w:val="24"/>
      <w:lang w:val="en-GB" w:eastAsia="en-GB" w:bidi="ar-SA"/>
    </w:rPr>
  </w:style>
  <w:style w:type="paragraph" w:styleId="Caption">
    <w:name w:val="caption"/>
    <w:basedOn w:val="Normal"/>
    <w:next w:val="Normal"/>
    <w:uiPriority w:val="99"/>
    <w:qFormat/>
    <w:rsid w:val="00C000D7"/>
    <w:pPr>
      <w:tabs>
        <w:tab w:val="clear" w:pos="1021"/>
      </w:tabs>
      <w:spacing w:after="60"/>
      <w:ind w:left="1418" w:hanging="1418"/>
      <w:jc w:val="left"/>
    </w:pPr>
    <w:rPr>
      <w:rFonts w:ascii="Verdana" w:hAnsi="Verdana"/>
      <w:b/>
      <w:bCs/>
      <w:sz w:val="20"/>
      <w:lang w:val="en-GB"/>
    </w:rPr>
  </w:style>
  <w:style w:type="paragraph" w:styleId="TOC1">
    <w:name w:val="toc 1"/>
    <w:basedOn w:val="Normal"/>
    <w:next w:val="Normal"/>
    <w:autoRedefine/>
    <w:uiPriority w:val="39"/>
    <w:rsid w:val="0086100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426"/>
        <w:tab w:val="right" w:pos="9286"/>
      </w:tabs>
      <w:spacing w:before="180" w:after="80" w:line="264" w:lineRule="auto"/>
      <w:ind w:left="425" w:hanging="425"/>
      <w:jc w:val="left"/>
    </w:pPr>
    <w:rPr>
      <w:rFonts w:ascii="Verdana" w:hAnsi="Verdana" w:cs="Arial"/>
      <w:b/>
      <w:bCs/>
      <w:noProof/>
      <w:color w:val="000080"/>
      <w:sz w:val="22"/>
      <w:szCs w:val="22"/>
    </w:rPr>
  </w:style>
  <w:style w:type="paragraph" w:styleId="TOC2">
    <w:name w:val="toc 2"/>
    <w:basedOn w:val="Normal"/>
    <w:next w:val="Normal"/>
    <w:autoRedefine/>
    <w:uiPriority w:val="39"/>
    <w:rsid w:val="0086100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960"/>
        <w:tab w:val="right" w:pos="9286"/>
      </w:tabs>
      <w:spacing w:before="80" w:after="40" w:line="264" w:lineRule="auto"/>
      <w:ind w:left="992" w:hanging="567"/>
      <w:jc w:val="left"/>
    </w:pPr>
    <w:rPr>
      <w:rFonts w:ascii="Verdana" w:hAnsi="Verdana" w:cs="Arial"/>
      <w:noProof/>
      <w:color w:val="000080"/>
      <w:kern w:val="28"/>
      <w:sz w:val="20"/>
      <w:lang w:val="en-GB"/>
    </w:rPr>
  </w:style>
  <w:style w:type="character" w:styleId="FollowedHyperlink">
    <w:name w:val="FollowedHyperlink"/>
    <w:basedOn w:val="DefaultParagraphFont"/>
    <w:uiPriority w:val="99"/>
    <w:rsid w:val="007D78CB"/>
    <w:rPr>
      <w:rFonts w:cs="Times New Roman"/>
      <w:color w:val="606420"/>
      <w:u w:val="single"/>
    </w:rPr>
  </w:style>
  <w:style w:type="paragraph" w:customStyle="1" w:styleId="5Normal">
    <w:name w:val="5 Normal"/>
    <w:link w:val="5NormalChar"/>
    <w:uiPriority w:val="99"/>
    <w:rsid w:val="007D78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rPr>
  </w:style>
  <w:style w:type="character" w:customStyle="1" w:styleId="5NormalChar">
    <w:name w:val="5 Normal Char"/>
    <w:basedOn w:val="DefaultParagraphFont"/>
    <w:link w:val="5Normal"/>
    <w:uiPriority w:val="99"/>
    <w:locked/>
    <w:rsid w:val="007D78CB"/>
    <w:rPr>
      <w:rFonts w:ascii="Arial" w:hAnsi="Arial" w:cs="Times New Roman"/>
      <w:spacing w:val="-2"/>
      <w:sz w:val="22"/>
      <w:lang w:val="en-GB" w:eastAsia="en-GB" w:bidi="ar-SA"/>
    </w:rPr>
  </w:style>
  <w:style w:type="paragraph" w:customStyle="1" w:styleId="Sous-titre1">
    <w:name w:val="Sous-titre 1"/>
    <w:basedOn w:val="Normal"/>
    <w:next w:val="5Normal"/>
    <w:autoRedefine/>
    <w:uiPriority w:val="99"/>
    <w:rsid w:val="007D78CB"/>
    <w:pPr>
      <w:tabs>
        <w:tab w:val="clear" w:pos="1021"/>
        <w:tab w:val="clear" w:pos="1786"/>
        <w:tab w:val="clear" w:pos="2381"/>
        <w:tab w:val="clear" w:pos="2948"/>
        <w:tab w:val="clear" w:pos="3572"/>
        <w:tab w:val="clear" w:pos="4139"/>
        <w:tab w:val="clear" w:pos="4763"/>
        <w:tab w:val="clear" w:pos="5387"/>
        <w:tab w:val="clear" w:pos="6577"/>
        <w:tab w:val="clear" w:pos="7144"/>
        <w:tab w:val="left" w:pos="284"/>
        <w:tab w:val="left" w:pos="567"/>
        <w:tab w:val="left" w:pos="851"/>
        <w:tab w:val="left" w:pos="1134"/>
        <w:tab w:val="left" w:pos="1701"/>
        <w:tab w:val="left" w:pos="1985"/>
        <w:tab w:val="left" w:pos="2268"/>
        <w:tab w:val="left" w:pos="2552"/>
        <w:tab w:val="left" w:pos="3119"/>
        <w:tab w:val="left" w:pos="4253"/>
        <w:tab w:val="left" w:pos="8222"/>
        <w:tab w:val="right" w:pos="11057"/>
      </w:tabs>
      <w:spacing w:before="240" w:after="240"/>
    </w:pPr>
    <w:rPr>
      <w:rFonts w:ascii="Verdana" w:hAnsi="Verdana"/>
      <w:sz w:val="20"/>
      <w:lang w:val="en-GB"/>
    </w:rPr>
  </w:style>
  <w:style w:type="paragraph" w:customStyle="1" w:styleId="Tiret1">
    <w:name w:val="Tiret 1"/>
    <w:basedOn w:val="Normal"/>
    <w:autoRedefine/>
    <w:uiPriority w:val="99"/>
    <w:rsid w:val="007D78CB"/>
    <w:pPr>
      <w:numPr>
        <w:numId w:val="3"/>
      </w:numPr>
      <w:tabs>
        <w:tab w:val="clear" w:pos="1021"/>
        <w:tab w:val="clear" w:pos="1786"/>
        <w:tab w:val="clear" w:pos="2381"/>
        <w:tab w:val="clear" w:pos="2948"/>
        <w:tab w:val="clear" w:pos="3572"/>
        <w:tab w:val="clear" w:pos="4139"/>
        <w:tab w:val="clear" w:pos="4763"/>
        <w:tab w:val="clear" w:pos="5387"/>
        <w:tab w:val="clear" w:pos="6577"/>
        <w:tab w:val="clear" w:pos="7144"/>
        <w:tab w:val="left" w:pos="426"/>
        <w:tab w:val="left" w:pos="567"/>
        <w:tab w:val="left" w:pos="851"/>
        <w:tab w:val="left" w:pos="1134"/>
        <w:tab w:val="left" w:pos="1701"/>
        <w:tab w:val="left" w:pos="1985"/>
        <w:tab w:val="left" w:pos="2268"/>
        <w:tab w:val="left" w:pos="2552"/>
        <w:tab w:val="left" w:pos="3119"/>
        <w:tab w:val="left" w:pos="4253"/>
        <w:tab w:val="left" w:pos="8222"/>
        <w:tab w:val="right" w:pos="11057"/>
      </w:tabs>
      <w:spacing w:after="120"/>
      <w:ind w:left="357" w:hanging="357"/>
    </w:pPr>
    <w:rPr>
      <w:rFonts w:ascii="Arial" w:hAnsi="Arial"/>
      <w:sz w:val="22"/>
      <w:lang w:val="en-GB"/>
    </w:rPr>
  </w:style>
  <w:style w:type="paragraph" w:customStyle="1" w:styleId="body">
    <w:name w:val="body"/>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00" w:beforeAutospacing="1" w:after="100" w:afterAutospacing="1"/>
      <w:jc w:val="left"/>
    </w:pPr>
    <w:rPr>
      <w:szCs w:val="24"/>
      <w:lang w:val="en-GB"/>
    </w:rPr>
  </w:style>
  <w:style w:type="paragraph" w:styleId="BodyText2">
    <w:name w:val="Body Text 2"/>
    <w:aliases w:val="Знак,Знак4,Знак Знак Знак Знак Знак Знак,Основен текст 21,Знак41"/>
    <w:basedOn w:val="Normal"/>
    <w:link w:val="BodyText2Char1"/>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pPr>
    <w:rPr>
      <w:rFonts w:ascii="Arial Narrow" w:hAnsi="Arial Narrow"/>
      <w:szCs w:val="24"/>
      <w:lang w:val="bg-BG" w:eastAsia="bg-BG"/>
    </w:rPr>
  </w:style>
  <w:style w:type="character" w:customStyle="1" w:styleId="BodyText2Char">
    <w:name w:val="Body Text 2 Char"/>
    <w:aliases w:val="Знак Char,Знак4 Char,Знак Знак Знак Знак Знак Знак Char,Основен текст 21 Char,Знак41 Char"/>
    <w:basedOn w:val="DefaultParagraphFont"/>
    <w:uiPriority w:val="99"/>
    <w:semiHidden/>
    <w:locked/>
    <w:rsid w:val="00F61255"/>
    <w:rPr>
      <w:rFonts w:cs="Times New Roman"/>
      <w:sz w:val="20"/>
      <w:szCs w:val="20"/>
      <w:lang w:val="fr-FR"/>
    </w:rPr>
  </w:style>
  <w:style w:type="character" w:customStyle="1" w:styleId="BodyText2Char1">
    <w:name w:val="Body Text 2 Char1"/>
    <w:aliases w:val="Знак Char1,Знак4 Char1,Знак Знак Знак Знак Знак Знак Char1,Основен текст 21 Char1,Знак41 Char1"/>
    <w:basedOn w:val="DefaultParagraphFont"/>
    <w:link w:val="BodyText2"/>
    <w:uiPriority w:val="99"/>
    <w:locked/>
    <w:rsid w:val="007D78CB"/>
    <w:rPr>
      <w:rFonts w:ascii="Arial Narrow" w:hAnsi="Arial Narrow" w:cs="Times New Roman"/>
      <w:sz w:val="24"/>
      <w:szCs w:val="24"/>
      <w:lang w:val="bg-BG" w:eastAsia="bg-BG" w:bidi="ar-SA"/>
    </w:rPr>
  </w:style>
  <w:style w:type="paragraph" w:customStyle="1" w:styleId="CM59">
    <w:name w:val="CM59"/>
    <w:basedOn w:val="Normal"/>
    <w:next w:val="Normal"/>
    <w:uiPriority w:val="99"/>
    <w:rsid w:val="007D78CB"/>
    <w:pPr>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autoSpaceDE w:val="0"/>
      <w:autoSpaceDN w:val="0"/>
      <w:adjustRightInd w:val="0"/>
      <w:spacing w:after="113"/>
      <w:jc w:val="left"/>
    </w:pPr>
    <w:rPr>
      <w:szCs w:val="24"/>
      <w:lang w:val="bg-BG" w:eastAsia="bg-BG"/>
    </w:rPr>
  </w:style>
  <w:style w:type="paragraph" w:styleId="TOC3">
    <w:name w:val="toc 3"/>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440"/>
        <w:tab w:val="right" w:pos="9286"/>
      </w:tabs>
      <w:spacing w:after="80"/>
      <w:ind w:left="992"/>
    </w:pPr>
    <w:rPr>
      <w:rFonts w:ascii="Verdana" w:hAnsi="Verdana"/>
      <w:noProof/>
      <w:color w:val="000080"/>
      <w:sz w:val="20"/>
      <w:lang w:val="en-GB"/>
    </w:rPr>
  </w:style>
  <w:style w:type="paragraph" w:styleId="TOC5">
    <w:name w:val="toc 5"/>
    <w:basedOn w:val="Normal"/>
    <w:next w:val="Normal"/>
    <w:autoRedefine/>
    <w:uiPriority w:val="99"/>
    <w:semiHidden/>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leader="dot" w:pos="9180"/>
      </w:tabs>
      <w:spacing w:before="40" w:after="120"/>
      <w:ind w:left="1134" w:right="454" w:hanging="1134"/>
      <w:jc w:val="left"/>
    </w:pPr>
    <w:rPr>
      <w:noProof/>
      <w:szCs w:val="24"/>
      <w:lang w:val="it-IT" w:eastAsia="it-IT"/>
    </w:rPr>
  </w:style>
  <w:style w:type="paragraph" w:customStyle="1" w:styleId="Text1">
    <w:name w:val="Text 1"/>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120" w:after="120"/>
      <w:ind w:left="850"/>
    </w:pPr>
    <w:rPr>
      <w:szCs w:val="24"/>
      <w:lang w:val="en-GB" w:eastAsia="de-DE"/>
    </w:rPr>
  </w:style>
  <w:style w:type="paragraph" w:customStyle="1" w:styleId="Tytuctrq">
    <w:name w:val="Tytuł ctr+q"/>
    <w:basedOn w:val="Normal"/>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240" w:line="360" w:lineRule="auto"/>
    </w:pPr>
    <w:rPr>
      <w:b/>
      <w:bCs/>
      <w:sz w:val="28"/>
      <w:szCs w:val="24"/>
      <w:lang w:val="lt-LT" w:eastAsia="de-DE"/>
    </w:rPr>
  </w:style>
  <w:style w:type="paragraph" w:styleId="BodyText">
    <w:name w:val="Body Text"/>
    <w:basedOn w:val="Normal"/>
    <w:link w:val="BodyTextChar"/>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20"/>
      <w:jc w:val="left"/>
    </w:pPr>
    <w:rPr>
      <w:szCs w:val="24"/>
      <w:lang w:eastAsia="fr-FR"/>
    </w:rPr>
  </w:style>
  <w:style w:type="character" w:customStyle="1" w:styleId="BodyTextChar">
    <w:name w:val="Body Text Char"/>
    <w:basedOn w:val="DefaultParagraphFont"/>
    <w:link w:val="BodyText"/>
    <w:uiPriority w:val="99"/>
    <w:semiHidden/>
    <w:locked/>
    <w:rsid w:val="00F61255"/>
    <w:rPr>
      <w:rFonts w:cs="Times New Roman"/>
      <w:sz w:val="20"/>
      <w:szCs w:val="20"/>
      <w:lang w:val="fr-FR"/>
    </w:rPr>
  </w:style>
  <w:style w:type="character" w:customStyle="1" w:styleId="Style10pt">
    <w:name w:val="Style 10 pt"/>
    <w:basedOn w:val="DefaultParagraphFont"/>
    <w:uiPriority w:val="99"/>
    <w:rsid w:val="007D78CB"/>
    <w:rPr>
      <w:rFonts w:cs="Times New Roman"/>
      <w:sz w:val="24"/>
    </w:rPr>
  </w:style>
  <w:style w:type="table" w:styleId="TableTheme">
    <w:name w:val="Table Theme"/>
    <w:basedOn w:val="TableNormal"/>
    <w:uiPriority w:val="99"/>
    <w:rsid w:val="007D78C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0"/>
      <w:szCs w:val="20"/>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rPr>
      <w:tblPr/>
      <w:tcPr>
        <w:tcBorders>
          <w:left w:val="nil"/>
          <w:bottom w:val="nil"/>
          <w:right w:val="nil"/>
          <w:insideH w:val="nil"/>
          <w:insideV w:val="single" w:sz="4" w:space="0" w:color="auto"/>
        </w:tcBorders>
      </w:tcPr>
    </w:tblStylePr>
  </w:style>
  <w:style w:type="paragraph" w:customStyle="1" w:styleId="StyleHeading1Verdana14ptBoldDarkBlueAllcaps">
    <w:name w:val="Style Heading 1 + Verdana 14 pt Bold Dark Blue All caps"/>
    <w:basedOn w:val="Heading1"/>
    <w:autoRedefine/>
    <w:uiPriority w:val="99"/>
    <w:rsid w:val="00C000D7"/>
    <w:pPr>
      <w:tabs>
        <w:tab w:val="clear" w:pos="360"/>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567"/>
      </w:tabs>
      <w:spacing w:before="600" w:after="120" w:line="264" w:lineRule="auto"/>
      <w:ind w:left="567" w:hanging="567"/>
    </w:pPr>
    <w:rPr>
      <w:rFonts w:ascii="Verdana" w:hAnsi="Verdana"/>
      <w:b/>
      <w:bCs/>
      <w:caps/>
      <w:color w:val="000080"/>
      <w:sz w:val="28"/>
    </w:rPr>
  </w:style>
  <w:style w:type="paragraph" w:customStyle="1" w:styleId="Otherheading1">
    <w:name w:val="Other heading 1"/>
    <w:basedOn w:val="Heading1"/>
    <w:link w:val="Otherheading1Char"/>
    <w:uiPriority w:val="99"/>
    <w:rsid w:val="007D78CB"/>
    <w:pPr>
      <w:numPr>
        <w:numId w:val="0"/>
      </w:numPr>
      <w:spacing w:before="120" w:after="120"/>
      <w:jc w:val="left"/>
    </w:pPr>
    <w:rPr>
      <w:rFonts w:ascii="Verdana" w:hAnsi="Verdana"/>
      <w:b/>
      <w:caps/>
      <w:color w:val="000080"/>
      <w:sz w:val="28"/>
    </w:rPr>
  </w:style>
  <w:style w:type="table" w:styleId="TableGrid8">
    <w:name w:val="Table Grid 8"/>
    <w:basedOn w:val="TableNormal"/>
    <w:uiPriority w:val="99"/>
    <w:rsid w:val="007D78C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FooterChar1">
    <w:name w:val="Footer Char1"/>
    <w:link w:val="Footer"/>
    <w:uiPriority w:val="99"/>
    <w:locked/>
    <w:rsid w:val="007D78CB"/>
    <w:rPr>
      <w:sz w:val="24"/>
      <w:lang w:val="fr-FR" w:eastAsia="en-GB"/>
    </w:rPr>
  </w:style>
  <w:style w:type="paragraph" w:customStyle="1" w:styleId="EUPfootonote">
    <w:name w:val="EUP footonote"/>
    <w:basedOn w:val="Footer"/>
    <w:autoRedefine/>
    <w:uiPriority w:val="99"/>
    <w:rsid w:val="003E1578"/>
    <w:pPr>
      <w:tabs>
        <w:tab w:val="clear" w:pos="1021"/>
        <w:tab w:val="clear" w:pos="1418"/>
        <w:tab w:val="clear" w:pos="1786"/>
        <w:tab w:val="clear" w:pos="2381"/>
        <w:tab w:val="clear" w:pos="2948"/>
        <w:tab w:val="clear" w:pos="3572"/>
        <w:tab w:val="clear" w:pos="4139"/>
        <w:tab w:val="clear" w:pos="4536"/>
        <w:tab w:val="clear" w:pos="4763"/>
        <w:tab w:val="clear" w:pos="5387"/>
        <w:tab w:val="clear" w:pos="5954"/>
        <w:tab w:val="clear" w:pos="6577"/>
        <w:tab w:val="clear" w:pos="7144"/>
        <w:tab w:val="clear" w:pos="9072"/>
        <w:tab w:val="left" w:pos="284"/>
      </w:tabs>
      <w:spacing w:line="264" w:lineRule="auto"/>
    </w:pPr>
    <w:rPr>
      <w:rFonts w:ascii="Verdana" w:hAnsi="Verdana"/>
      <w:sz w:val="16"/>
      <w:szCs w:val="16"/>
      <w:lang w:val="en-GB"/>
    </w:rPr>
  </w:style>
  <w:style w:type="paragraph" w:customStyle="1" w:styleId="EUPHeading1">
    <w:name w:val="EUP  Heading 1"/>
    <w:basedOn w:val="StyleHeading1Verdana14ptBoldDarkBlueAllcaps"/>
    <w:autoRedefine/>
    <w:uiPriority w:val="99"/>
    <w:rsid w:val="00A17C1D"/>
    <w:pPr>
      <w:numPr>
        <w:numId w:val="0"/>
      </w:numPr>
      <w:jc w:val="center"/>
    </w:pPr>
    <w:rPr>
      <w:bCs w:val="0"/>
      <w:caps w:val="0"/>
      <w:sz w:val="44"/>
      <w:szCs w:val="44"/>
    </w:rPr>
  </w:style>
  <w:style w:type="paragraph" w:customStyle="1" w:styleId="EUPNormal">
    <w:name w:val="EUP Normal"/>
    <w:basedOn w:val="Normal"/>
    <w:autoRedefine/>
    <w:uiPriority w:val="99"/>
    <w:rsid w:val="007D6C33"/>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851"/>
      </w:tabs>
      <w:spacing w:before="180" w:after="120" w:line="264" w:lineRule="auto"/>
    </w:pPr>
    <w:rPr>
      <w:rFonts w:ascii="Verdana" w:hAnsi="Verdana"/>
      <w:sz w:val="20"/>
      <w:szCs w:val="16"/>
      <w:lang w:val="en-GB"/>
    </w:rPr>
  </w:style>
  <w:style w:type="paragraph" w:customStyle="1" w:styleId="EUPHeading2">
    <w:name w:val="EUP Heading 2"/>
    <w:basedOn w:val="Heading2"/>
    <w:link w:val="EUPHeading2Char"/>
    <w:autoRedefine/>
    <w:uiPriority w:val="99"/>
    <w:rsid w:val="00BA554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851"/>
      </w:tabs>
      <w:spacing w:before="300" w:after="180" w:line="264" w:lineRule="auto"/>
      <w:ind w:left="794" w:hanging="794"/>
    </w:pPr>
    <w:rPr>
      <w:rFonts w:ascii="Verdana" w:hAnsi="Verdana"/>
      <w:b/>
      <w:bCs/>
      <w:color w:val="000080"/>
      <w:lang w:val="en-GB"/>
    </w:rPr>
  </w:style>
  <w:style w:type="paragraph" w:styleId="TOC4">
    <w:name w:val="toc 4"/>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720"/>
    </w:pPr>
  </w:style>
  <w:style w:type="paragraph" w:styleId="TOC6">
    <w:name w:val="toc 6"/>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200"/>
    </w:pPr>
  </w:style>
  <w:style w:type="paragraph" w:styleId="TOC7">
    <w:name w:val="toc 7"/>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40"/>
    </w:pPr>
  </w:style>
  <w:style w:type="paragraph" w:styleId="TOC8">
    <w:name w:val="toc 8"/>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680"/>
    </w:pPr>
  </w:style>
  <w:style w:type="paragraph" w:styleId="TOC9">
    <w:name w:val="toc 9"/>
    <w:basedOn w:val="Normal"/>
    <w:next w:val="Normal"/>
    <w:autoRedefine/>
    <w:uiPriority w:val="99"/>
    <w:rsid w:val="007D78C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920"/>
    </w:pPr>
  </w:style>
  <w:style w:type="character" w:styleId="CommentReference">
    <w:name w:val="annotation reference"/>
    <w:basedOn w:val="DefaultParagraphFont"/>
    <w:uiPriority w:val="99"/>
    <w:semiHidden/>
    <w:rsid w:val="006974DF"/>
    <w:rPr>
      <w:rFonts w:cs="Times New Roman"/>
      <w:sz w:val="16"/>
      <w:szCs w:val="16"/>
    </w:rPr>
  </w:style>
  <w:style w:type="paragraph" w:styleId="CommentText">
    <w:name w:val="annotation text"/>
    <w:basedOn w:val="Normal"/>
    <w:link w:val="CommentTextChar"/>
    <w:uiPriority w:val="99"/>
    <w:semiHidden/>
    <w:rsid w:val="006974DF"/>
    <w:rPr>
      <w:sz w:val="20"/>
    </w:rPr>
  </w:style>
  <w:style w:type="character" w:customStyle="1" w:styleId="CommentTextChar">
    <w:name w:val="Comment Text Char"/>
    <w:basedOn w:val="DefaultParagraphFont"/>
    <w:link w:val="CommentText"/>
    <w:uiPriority w:val="99"/>
    <w:semiHidden/>
    <w:locked/>
    <w:rsid w:val="00F61255"/>
    <w:rPr>
      <w:rFonts w:cs="Times New Roman"/>
      <w:sz w:val="20"/>
      <w:szCs w:val="20"/>
      <w:lang w:val="fr-FR"/>
    </w:rPr>
  </w:style>
  <w:style w:type="paragraph" w:styleId="CommentSubject">
    <w:name w:val="annotation subject"/>
    <w:basedOn w:val="CommentText"/>
    <w:next w:val="CommentText"/>
    <w:link w:val="CommentSubjectChar"/>
    <w:uiPriority w:val="99"/>
    <w:semiHidden/>
    <w:rsid w:val="006974DF"/>
    <w:rPr>
      <w:b/>
      <w:bCs/>
    </w:rPr>
  </w:style>
  <w:style w:type="character" w:customStyle="1" w:styleId="CommentSubjectChar">
    <w:name w:val="Comment Subject Char"/>
    <w:basedOn w:val="CommentTextChar"/>
    <w:link w:val="CommentSubject"/>
    <w:uiPriority w:val="99"/>
    <w:semiHidden/>
    <w:locked/>
    <w:rsid w:val="00F61255"/>
    <w:rPr>
      <w:rFonts w:cs="Times New Roman"/>
      <w:b/>
      <w:bCs/>
      <w:sz w:val="20"/>
      <w:szCs w:val="20"/>
      <w:lang w:val="fr-FR"/>
    </w:rPr>
  </w:style>
  <w:style w:type="character" w:customStyle="1" w:styleId="ata11y">
    <w:name w:val="at_a11y"/>
    <w:basedOn w:val="DefaultParagraphFont"/>
    <w:uiPriority w:val="99"/>
    <w:rsid w:val="004D37AA"/>
    <w:rPr>
      <w:rFonts w:cs="Times New Roman"/>
    </w:rPr>
  </w:style>
  <w:style w:type="character" w:customStyle="1" w:styleId="CharChar">
    <w:name w:val="Char Char"/>
    <w:uiPriority w:val="99"/>
    <w:rsid w:val="00A17C1D"/>
    <w:rPr>
      <w:sz w:val="24"/>
      <w:lang w:val="fr-FR" w:eastAsia="en-GB"/>
    </w:rPr>
  </w:style>
  <w:style w:type="character" w:customStyle="1" w:styleId="HeaderChar1">
    <w:name w:val="Header Char1"/>
    <w:basedOn w:val="DefaultParagraphFont"/>
    <w:uiPriority w:val="99"/>
    <w:locked/>
    <w:rsid w:val="00A17C1D"/>
    <w:rPr>
      <w:rFonts w:cs="Times New Roman"/>
      <w:sz w:val="24"/>
      <w:lang w:val="en-GB" w:eastAsia="en-GB"/>
    </w:rPr>
  </w:style>
  <w:style w:type="character" w:customStyle="1" w:styleId="EUPHeading2Char">
    <w:name w:val="EUP Heading 2 Char"/>
    <w:basedOn w:val="Heading2Char"/>
    <w:link w:val="EUPHeading2"/>
    <w:uiPriority w:val="99"/>
    <w:locked/>
    <w:rsid w:val="00BA5544"/>
    <w:rPr>
      <w:rFonts w:ascii="Verdana" w:hAnsi="Verdana" w:cs="Times New Roman"/>
      <w:b/>
      <w:bCs/>
      <w:color w:val="000080"/>
      <w:sz w:val="24"/>
      <w:szCs w:val="20"/>
      <w:lang w:val="fr-FR" w:eastAsia="en-GB" w:bidi="ar-SA"/>
    </w:rPr>
  </w:style>
  <w:style w:type="paragraph" w:customStyle="1" w:styleId="StyleOtherheading110pt">
    <w:name w:val="Style Other heading 1 + 10 pt"/>
    <w:basedOn w:val="Otherheading1"/>
    <w:link w:val="StyleOtherheading110ptChar"/>
    <w:autoRedefine/>
    <w:uiPriority w:val="99"/>
    <w:rsid w:val="00757131"/>
    <w:pPr>
      <w:spacing w:before="240"/>
    </w:pPr>
    <w:rPr>
      <w:bCs/>
      <w:sz w:val="20"/>
    </w:rPr>
  </w:style>
  <w:style w:type="character" w:customStyle="1" w:styleId="Otherheading1Char">
    <w:name w:val="Other heading 1 Char"/>
    <w:basedOn w:val="Heading1Char1"/>
    <w:link w:val="Otherheading1"/>
    <w:uiPriority w:val="99"/>
    <w:locked/>
    <w:rsid w:val="00757131"/>
    <w:rPr>
      <w:rFonts w:ascii="Verdana" w:hAnsi="Verdana" w:cs="Times New Roman"/>
      <w:b/>
      <w:caps/>
      <w:color w:val="000080"/>
      <w:kern w:val="28"/>
      <w:sz w:val="28"/>
      <w:lang w:val="en-GB" w:eastAsia="en-GB" w:bidi="ar-SA"/>
    </w:rPr>
  </w:style>
  <w:style w:type="character" w:customStyle="1" w:styleId="StyleOtherheading110ptChar">
    <w:name w:val="Style Other heading 1 + 10 pt Char"/>
    <w:basedOn w:val="Otherheading1Char"/>
    <w:link w:val="StyleOtherheading110pt"/>
    <w:uiPriority w:val="99"/>
    <w:locked/>
    <w:rsid w:val="00757131"/>
    <w:rPr>
      <w:rFonts w:ascii="Verdana" w:hAnsi="Verdana" w:cs="Times New Roman"/>
      <w:b/>
      <w:bCs/>
      <w:caps/>
      <w:color w:val="000080"/>
      <w:kern w:val="28"/>
      <w:sz w:val="28"/>
      <w:lang w:val="en-GB" w:eastAsia="en-GB" w:bidi="ar-SA"/>
    </w:rPr>
  </w:style>
  <w:style w:type="paragraph" w:customStyle="1" w:styleId="StyleOtherheading1Before12ptLinespacingMultiple11">
    <w:name w:val="Style Other heading 1 + Before:  12 pt Line spacing:  Multiple 11..."/>
    <w:basedOn w:val="Otherheading1"/>
    <w:autoRedefine/>
    <w:uiPriority w:val="99"/>
    <w:rsid w:val="000E292F"/>
    <w:pPr>
      <w:spacing w:before="360" w:after="240" w:line="264" w:lineRule="auto"/>
    </w:pPr>
    <w:rPr>
      <w:bCs/>
    </w:rPr>
  </w:style>
  <w:style w:type="paragraph" w:styleId="ListParagraph">
    <w:name w:val="List Paragraph"/>
    <w:basedOn w:val="Normal"/>
    <w:uiPriority w:val="34"/>
    <w:qFormat/>
    <w:rsid w:val="006B2068"/>
    <w:pPr>
      <w:ind w:left="720"/>
      <w:contextualSpacing/>
    </w:pPr>
  </w:style>
  <w:style w:type="paragraph" w:customStyle="1" w:styleId="articledetails">
    <w:name w:val="articledetails"/>
    <w:basedOn w:val="Normal"/>
    <w:rsid w:val="006B2068"/>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Lines="1" w:afterLines="1"/>
      <w:jc w:val="left"/>
    </w:pPr>
    <w:rPr>
      <w:rFonts w:ascii="Times" w:hAnsi="Times"/>
      <w:sz w:val="20"/>
      <w:lang w:val="en-US" w:eastAsia="en-US"/>
    </w:rPr>
  </w:style>
  <w:style w:type="character" w:customStyle="1" w:styleId="maintitle">
    <w:name w:val="maintitle"/>
    <w:basedOn w:val="DefaultParagraphFont"/>
    <w:rsid w:val="006B2068"/>
  </w:style>
  <w:style w:type="character" w:customStyle="1" w:styleId="FootnoteTextChar1">
    <w:name w:val="Footnote Text Char1"/>
    <w:aliases w:val="Fußnotentextf Char1,Fußnotentextr Char1,stile 1 Char1,Footnote Char1,Footnote1 Char1,Footnote2 Char1,Footnote3 Char1,Footnote4 Char1,Footnote5 Char1,Footnote6 Char1,Footnote7 Char1,Footnote8 Char1,Footnote9 Char1,Footnote10 Char1"/>
    <w:uiPriority w:val="99"/>
    <w:locked/>
    <w:rsid w:val="004216FB"/>
  </w:style>
</w:styles>
</file>

<file path=word/webSettings.xml><?xml version="1.0" encoding="utf-8"?>
<w:webSettings xmlns:r="http://schemas.openxmlformats.org/officeDocument/2006/relationships" xmlns:w="http://schemas.openxmlformats.org/wordprocessingml/2006/main">
  <w:divs>
    <w:div w:id="586114137">
      <w:bodyDiv w:val="1"/>
      <w:marLeft w:val="0"/>
      <w:marRight w:val="0"/>
      <w:marTop w:val="0"/>
      <w:marBottom w:val="0"/>
      <w:divBdr>
        <w:top w:val="none" w:sz="0" w:space="0" w:color="auto"/>
        <w:left w:val="none" w:sz="0" w:space="0" w:color="auto"/>
        <w:bottom w:val="none" w:sz="0" w:space="0" w:color="auto"/>
        <w:right w:val="none" w:sz="0" w:space="0" w:color="auto"/>
      </w:divBdr>
      <w:divsChild>
        <w:div w:id="727000661">
          <w:marLeft w:val="0"/>
          <w:marRight w:val="0"/>
          <w:marTop w:val="0"/>
          <w:marBottom w:val="0"/>
          <w:divBdr>
            <w:top w:val="none" w:sz="0" w:space="0" w:color="auto"/>
            <w:left w:val="none" w:sz="0" w:space="0" w:color="auto"/>
            <w:bottom w:val="none" w:sz="0" w:space="0" w:color="auto"/>
            <w:right w:val="none" w:sz="0" w:space="0" w:color="auto"/>
          </w:divBdr>
          <w:divsChild>
            <w:div w:id="423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1184">
      <w:bodyDiv w:val="1"/>
      <w:marLeft w:val="0"/>
      <w:marRight w:val="0"/>
      <w:marTop w:val="0"/>
      <w:marBottom w:val="0"/>
      <w:divBdr>
        <w:top w:val="none" w:sz="0" w:space="0" w:color="auto"/>
        <w:left w:val="none" w:sz="0" w:space="0" w:color="auto"/>
        <w:bottom w:val="none" w:sz="0" w:space="0" w:color="auto"/>
        <w:right w:val="none" w:sz="0" w:space="0" w:color="auto"/>
      </w:divBdr>
      <w:divsChild>
        <w:div w:id="2018654695">
          <w:marLeft w:val="0"/>
          <w:marRight w:val="0"/>
          <w:marTop w:val="0"/>
          <w:marBottom w:val="0"/>
          <w:divBdr>
            <w:top w:val="none" w:sz="0" w:space="0" w:color="auto"/>
            <w:left w:val="none" w:sz="0" w:space="0" w:color="auto"/>
            <w:bottom w:val="none" w:sz="0" w:space="0" w:color="auto"/>
            <w:right w:val="none" w:sz="0" w:space="0" w:color="auto"/>
          </w:divBdr>
        </w:div>
        <w:div w:id="1142885269">
          <w:marLeft w:val="0"/>
          <w:marRight w:val="0"/>
          <w:marTop w:val="0"/>
          <w:marBottom w:val="0"/>
          <w:divBdr>
            <w:top w:val="none" w:sz="0" w:space="0" w:color="auto"/>
            <w:left w:val="none" w:sz="0" w:space="0" w:color="auto"/>
            <w:bottom w:val="none" w:sz="0" w:space="0" w:color="auto"/>
            <w:right w:val="none" w:sz="0" w:space="0" w:color="auto"/>
          </w:divBdr>
        </w:div>
      </w:divsChild>
    </w:div>
    <w:div w:id="1717393128">
      <w:bodyDiv w:val="1"/>
      <w:marLeft w:val="0"/>
      <w:marRight w:val="0"/>
      <w:marTop w:val="0"/>
      <w:marBottom w:val="0"/>
      <w:divBdr>
        <w:top w:val="none" w:sz="0" w:space="0" w:color="auto"/>
        <w:left w:val="none" w:sz="0" w:space="0" w:color="auto"/>
        <w:bottom w:val="none" w:sz="0" w:space="0" w:color="auto"/>
        <w:right w:val="none" w:sz="0" w:space="0" w:color="auto"/>
      </w:divBdr>
    </w:div>
    <w:div w:id="1731732370">
      <w:bodyDiv w:val="1"/>
      <w:marLeft w:val="0"/>
      <w:marRight w:val="0"/>
      <w:marTop w:val="0"/>
      <w:marBottom w:val="0"/>
      <w:divBdr>
        <w:top w:val="none" w:sz="0" w:space="0" w:color="auto"/>
        <w:left w:val="none" w:sz="0" w:space="0" w:color="auto"/>
        <w:bottom w:val="none" w:sz="0" w:space="0" w:color="auto"/>
        <w:right w:val="none" w:sz="0" w:space="0" w:color="auto"/>
      </w:divBdr>
    </w:div>
    <w:div w:id="1945724985">
      <w:bodyDiv w:val="1"/>
      <w:marLeft w:val="0"/>
      <w:marRight w:val="0"/>
      <w:marTop w:val="0"/>
      <w:marBottom w:val="0"/>
      <w:divBdr>
        <w:top w:val="none" w:sz="0" w:space="0" w:color="auto"/>
        <w:left w:val="none" w:sz="0" w:space="0" w:color="auto"/>
        <w:bottom w:val="none" w:sz="0" w:space="0" w:color="auto"/>
        <w:right w:val="none" w:sz="0" w:space="0" w:color="auto"/>
      </w:divBdr>
      <w:divsChild>
        <w:div w:id="677658314">
          <w:marLeft w:val="0"/>
          <w:marRight w:val="0"/>
          <w:marTop w:val="0"/>
          <w:marBottom w:val="0"/>
          <w:divBdr>
            <w:top w:val="none" w:sz="0" w:space="0" w:color="auto"/>
            <w:left w:val="none" w:sz="0" w:space="0" w:color="auto"/>
            <w:bottom w:val="none" w:sz="0" w:space="0" w:color="auto"/>
            <w:right w:val="none" w:sz="0" w:space="0" w:color="auto"/>
          </w:divBdr>
          <w:divsChild>
            <w:div w:id="418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ldep-Economy-Science@europarl.europa.eu" TargetMode="External"/><Relationship Id="rId20" Type="http://schemas.openxmlformats.org/officeDocument/2006/relationships/image" Target="media/image7.png"/><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6.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mailto:Poldep-Economy-Science@europarl.europa.eu" TargetMode="External"/><Relationship Id="rId11" Type="http://schemas.openxmlformats.org/officeDocument/2006/relationships/hyperlink" Target="http://www.ep.europa.eu/studi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Bond_(finance)" TargetMode="External"/><Relationship Id="rId4" Type="http://schemas.openxmlformats.org/officeDocument/2006/relationships/hyperlink" Target="http://en.wikipedia.org/wiki/Eurozone" TargetMode="External"/><Relationship Id="rId1" Type="http://schemas.openxmlformats.org/officeDocument/2006/relationships/hyperlink" Target="http://en.wikipedia.org/wiki/Secondary_market" TargetMode="External"/><Relationship Id="rId2" Type="http://schemas.openxmlformats.org/officeDocument/2006/relationships/hyperlink" Target="http://en.wikipedia.org/wiki/Sovereign_bo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tornaco\Local%20Settings\Temporary%20Internet%20Files\OLK48\Template%20notes-studie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CDA6-59CC-F440-B3DB-82091CFA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Settings\adetornaco\Local Settings\Temporary Internet Files\OLK48\Template notes-studies (2).dot</Template>
  <TotalTime>1</TotalTime>
  <Pages>17</Pages>
  <Words>4412</Words>
  <Characters>25149</Characters>
  <Application>Microsoft Macintosh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EMU Reforms: Centralisation vs. Decentralisation</vt:lpstr>
    </vt:vector>
  </TitlesOfParts>
  <Company>European Parliament</Company>
  <LinksUpToDate>false</LinksUpToDate>
  <CharactersWithSpaces>30884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Reforms: Centralisation vs. Decentralisation</dc:title>
  <dc:subject>Policy Department Economic and Scientific Policy, European Parliament</dc:subject>
  <dc:creator>Charles Wyplosz</dc:creator>
  <cp:lastModifiedBy>Charles Wyplosz</cp:lastModifiedBy>
  <cp:revision>2</cp:revision>
  <cp:lastPrinted>2012-12-09T16:28:00Z</cp:lastPrinted>
  <dcterms:created xsi:type="dcterms:W3CDTF">2014-09-17T09:15:00Z</dcterms:created>
  <dcterms:modified xsi:type="dcterms:W3CDTF">2014-09-17T09:15:00Z</dcterms:modified>
</cp:coreProperties>
</file>